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7544A2">
      <w:pPr>
        <w:pStyle w:val="2"/>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微软雅黑" w:cs="Times New Roman"/>
          <w:b/>
          <w:bCs/>
          <w:i w:val="0"/>
          <w:iCs w:val="0"/>
          <w:caps w:val="0"/>
          <w:color w:val="000000"/>
          <w:spacing w:val="0"/>
          <w:sz w:val="45"/>
          <w:szCs w:val="45"/>
          <w:highlight w:val="none"/>
          <w:shd w:val="clear" w:fill="FFFFFF"/>
          <w:lang w:eastAsia="zh-CN"/>
        </w:rPr>
      </w:pPr>
    </w:p>
    <w:p w14:paraId="7A9BAB37">
      <w:pPr>
        <w:pStyle w:val="2"/>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微软雅黑" w:cs="Times New Roman"/>
          <w:b/>
          <w:bCs/>
          <w:i w:val="0"/>
          <w:iCs w:val="0"/>
          <w:caps w:val="0"/>
          <w:color w:val="000000"/>
          <w:spacing w:val="0"/>
          <w:sz w:val="45"/>
          <w:szCs w:val="45"/>
          <w:highlight w:val="none"/>
          <w:shd w:val="clear" w:fill="FFFFFF"/>
          <w:lang w:eastAsia="zh-CN"/>
        </w:rPr>
      </w:pPr>
    </w:p>
    <w:p w14:paraId="23617F0F">
      <w:pPr>
        <w:pStyle w:val="2"/>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微软雅黑" w:cs="Times New Roman"/>
          <w:b/>
          <w:bCs/>
          <w:i w:val="0"/>
          <w:iCs w:val="0"/>
          <w:caps w:val="0"/>
          <w:color w:val="000000"/>
          <w:spacing w:val="0"/>
          <w:sz w:val="45"/>
          <w:szCs w:val="45"/>
          <w:highlight w:val="none"/>
          <w:shd w:val="clear" w:fill="FFFFFF"/>
          <w:lang w:eastAsia="zh-CN"/>
        </w:rPr>
      </w:pPr>
    </w:p>
    <w:p w14:paraId="0D187E02">
      <w:pPr>
        <w:pStyle w:val="2"/>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微软雅黑" w:cs="Times New Roman"/>
          <w:b/>
          <w:bCs/>
          <w:i w:val="0"/>
          <w:iCs w:val="0"/>
          <w:caps w:val="0"/>
          <w:color w:val="000000"/>
          <w:spacing w:val="0"/>
          <w:sz w:val="45"/>
          <w:szCs w:val="45"/>
          <w:highlight w:val="none"/>
          <w:shd w:val="clear" w:fill="FFFFFF"/>
          <w:lang w:eastAsia="zh-CN"/>
        </w:rPr>
      </w:pPr>
    </w:p>
    <w:p w14:paraId="2B55D82C">
      <w:pPr>
        <w:pStyle w:val="2"/>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微软雅黑" w:cs="Times New Roman"/>
          <w:b/>
          <w:bCs/>
          <w:i w:val="0"/>
          <w:iCs w:val="0"/>
          <w:caps w:val="0"/>
          <w:color w:val="000000"/>
          <w:spacing w:val="0"/>
          <w:sz w:val="45"/>
          <w:szCs w:val="45"/>
          <w:highlight w:val="none"/>
          <w:shd w:val="clear" w:fill="FFFFFF"/>
          <w:lang w:eastAsia="zh-CN"/>
        </w:rPr>
      </w:pPr>
    </w:p>
    <w:p w14:paraId="28DA5C6A">
      <w:pPr>
        <w:pStyle w:val="2"/>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微软雅黑" w:cs="Times New Roman"/>
          <w:b/>
          <w:bCs/>
          <w:i w:val="0"/>
          <w:iCs w:val="0"/>
          <w:caps w:val="0"/>
          <w:color w:val="000000"/>
          <w:spacing w:val="0"/>
          <w:sz w:val="45"/>
          <w:szCs w:val="45"/>
          <w:highlight w:val="none"/>
          <w:shd w:val="clear" w:fill="FFFFFF"/>
          <w:lang w:eastAsia="zh-CN"/>
        </w:rPr>
      </w:pPr>
    </w:p>
    <w:p w14:paraId="7F74EAB5">
      <w:pPr>
        <w:pStyle w:val="2"/>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微软雅黑" w:cs="Times New Roman"/>
          <w:b/>
          <w:bCs/>
          <w:i w:val="0"/>
          <w:iCs w:val="0"/>
          <w:caps w:val="0"/>
          <w:color w:val="000000"/>
          <w:spacing w:val="0"/>
          <w:sz w:val="45"/>
          <w:szCs w:val="45"/>
          <w:highlight w:val="none"/>
          <w:shd w:val="clear" w:fill="FFFFFF"/>
          <w:lang w:eastAsia="zh-CN"/>
        </w:rPr>
      </w:pPr>
    </w:p>
    <w:p w14:paraId="28C5A886">
      <w:pPr>
        <w:pStyle w:val="2"/>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b w:val="0"/>
          <w:bCs w:val="0"/>
          <w:i w:val="0"/>
          <w:iCs w:val="0"/>
          <w:caps w:val="0"/>
          <w:color w:val="000000"/>
          <w:spacing w:val="0"/>
          <w:sz w:val="32"/>
          <w:szCs w:val="32"/>
          <w:highlight w:val="none"/>
          <w:shd w:val="clear" w:fill="FFFFFF"/>
          <w:lang w:eastAsia="zh-CN"/>
        </w:rPr>
      </w:pPr>
      <w:r>
        <w:rPr>
          <w:rFonts w:hint="default" w:ascii="Times New Roman" w:hAnsi="Times New Roman" w:eastAsia="仿宋_GB2312" w:cs="Times New Roman"/>
          <w:b w:val="0"/>
          <w:bCs w:val="0"/>
          <w:i w:val="0"/>
          <w:iCs w:val="0"/>
          <w:caps w:val="0"/>
          <w:color w:val="000000"/>
          <w:spacing w:val="0"/>
          <w:sz w:val="32"/>
          <w:szCs w:val="32"/>
          <w:highlight w:val="none"/>
          <w:shd w:val="clear" w:fill="FFFFFF"/>
          <w:lang w:eastAsia="zh-CN"/>
        </w:rPr>
        <w:t>左政办</w:t>
      </w:r>
      <w:r>
        <w:rPr>
          <w:rFonts w:hint="eastAsia" w:ascii="Times New Roman" w:hAnsi="Times New Roman" w:eastAsia="仿宋_GB2312" w:cs="Times New Roman"/>
          <w:b w:val="0"/>
          <w:bCs w:val="0"/>
          <w:i w:val="0"/>
          <w:iCs w:val="0"/>
          <w:caps w:val="0"/>
          <w:color w:val="000000"/>
          <w:spacing w:val="0"/>
          <w:sz w:val="32"/>
          <w:szCs w:val="32"/>
          <w:highlight w:val="none"/>
          <w:shd w:val="clear" w:fill="FFFFFF"/>
          <w:lang w:eastAsia="zh-CN"/>
        </w:rPr>
        <w:t>发</w:t>
      </w:r>
      <w:r>
        <w:rPr>
          <w:rFonts w:hint="default" w:ascii="Times New Roman" w:hAnsi="Times New Roman" w:eastAsia="仿宋_GB2312" w:cs="Times New Roman"/>
          <w:b w:val="0"/>
          <w:bCs w:val="0"/>
          <w:i w:val="0"/>
          <w:iCs w:val="0"/>
          <w:caps w:val="0"/>
          <w:color w:val="000000"/>
          <w:spacing w:val="0"/>
          <w:sz w:val="32"/>
          <w:szCs w:val="32"/>
          <w:highlight w:val="none"/>
          <w:shd w:val="clear" w:fill="FFFFFF"/>
          <w:lang w:eastAsia="zh-CN"/>
        </w:rPr>
        <w:t>〔</w:t>
      </w:r>
      <w:r>
        <w:rPr>
          <w:rFonts w:hint="default" w:ascii="Times New Roman" w:hAnsi="Times New Roman" w:eastAsia="仿宋_GB2312" w:cs="Times New Roman"/>
          <w:b w:val="0"/>
          <w:bCs w:val="0"/>
          <w:i w:val="0"/>
          <w:iCs w:val="0"/>
          <w:caps w:val="0"/>
          <w:color w:val="000000"/>
          <w:spacing w:val="0"/>
          <w:sz w:val="32"/>
          <w:szCs w:val="32"/>
          <w:highlight w:val="none"/>
          <w:shd w:val="clear" w:fill="FFFFFF"/>
          <w:lang w:val="en-US" w:eastAsia="zh-CN"/>
        </w:rPr>
        <w:t>2022</w:t>
      </w:r>
      <w:r>
        <w:rPr>
          <w:rFonts w:hint="default" w:ascii="Times New Roman" w:hAnsi="Times New Roman" w:eastAsia="仿宋_GB2312" w:cs="Times New Roman"/>
          <w:b w:val="0"/>
          <w:bCs w:val="0"/>
          <w:i w:val="0"/>
          <w:iCs w:val="0"/>
          <w:caps w:val="0"/>
          <w:color w:val="000000"/>
          <w:spacing w:val="0"/>
          <w:sz w:val="32"/>
          <w:szCs w:val="32"/>
          <w:highlight w:val="none"/>
          <w:shd w:val="clear" w:fill="FFFFFF"/>
          <w:lang w:eastAsia="zh-CN"/>
        </w:rPr>
        <w:t>〕</w:t>
      </w:r>
      <w:r>
        <w:rPr>
          <w:rFonts w:hint="default" w:ascii="Times New Roman" w:hAnsi="Times New Roman" w:eastAsia="仿宋_GB2312" w:cs="Times New Roman"/>
          <w:b w:val="0"/>
          <w:bCs w:val="0"/>
          <w:i w:val="0"/>
          <w:iCs w:val="0"/>
          <w:caps w:val="0"/>
          <w:color w:val="000000"/>
          <w:spacing w:val="0"/>
          <w:sz w:val="32"/>
          <w:szCs w:val="32"/>
          <w:highlight w:val="none"/>
          <w:shd w:val="clear" w:fill="FFFFFF"/>
          <w:lang w:val="en-US" w:eastAsia="zh-CN"/>
        </w:rPr>
        <w:t>31</w:t>
      </w:r>
      <w:r>
        <w:rPr>
          <w:rFonts w:hint="default" w:ascii="Times New Roman" w:hAnsi="Times New Roman" w:eastAsia="仿宋_GB2312" w:cs="Times New Roman"/>
          <w:b w:val="0"/>
          <w:bCs w:val="0"/>
          <w:i w:val="0"/>
          <w:iCs w:val="0"/>
          <w:caps w:val="0"/>
          <w:color w:val="000000"/>
          <w:spacing w:val="0"/>
          <w:sz w:val="32"/>
          <w:szCs w:val="32"/>
          <w:highlight w:val="none"/>
          <w:shd w:val="clear" w:fill="FFFFFF"/>
          <w:lang w:eastAsia="zh-CN"/>
        </w:rPr>
        <w:t>号</w:t>
      </w:r>
    </w:p>
    <w:p w14:paraId="6A238CC8">
      <w:pPr>
        <w:pStyle w:val="2"/>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b w:val="0"/>
          <w:bCs w:val="0"/>
          <w:i w:val="0"/>
          <w:iCs w:val="0"/>
          <w:caps w:val="0"/>
          <w:color w:val="000000"/>
          <w:spacing w:val="0"/>
          <w:sz w:val="32"/>
          <w:szCs w:val="32"/>
          <w:highlight w:val="none"/>
          <w:shd w:val="clear" w:fill="FFFFFF"/>
          <w:lang w:eastAsia="zh-CN"/>
        </w:rPr>
      </w:pPr>
    </w:p>
    <w:p w14:paraId="3AD55DE3">
      <w:pPr>
        <w:pStyle w:val="2"/>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微软雅黑" w:cs="Times New Roman"/>
          <w:b/>
          <w:bCs/>
          <w:i w:val="0"/>
          <w:iCs w:val="0"/>
          <w:caps w:val="0"/>
          <w:color w:val="000000"/>
          <w:spacing w:val="0"/>
          <w:sz w:val="45"/>
          <w:szCs w:val="45"/>
          <w:highlight w:val="none"/>
          <w:shd w:val="clear" w:fill="FFFFFF"/>
          <w:lang w:eastAsia="zh-CN"/>
        </w:rPr>
      </w:pPr>
    </w:p>
    <w:p w14:paraId="3698E1ED">
      <w:pPr>
        <w:pStyle w:val="2"/>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方正小标宋简体" w:cs="Times New Roman"/>
          <w:b w:val="0"/>
          <w:bCs w:val="0"/>
          <w:i w:val="0"/>
          <w:iCs w:val="0"/>
          <w:caps w:val="0"/>
          <w:color w:val="000000"/>
          <w:spacing w:val="0"/>
          <w:sz w:val="44"/>
          <w:szCs w:val="44"/>
          <w:highlight w:val="none"/>
          <w:shd w:val="clear" w:fill="FFFFFF"/>
        </w:rPr>
      </w:pPr>
      <w:r>
        <w:rPr>
          <w:rFonts w:hint="default" w:ascii="Times New Roman" w:hAnsi="Times New Roman" w:eastAsia="方正小标宋简体" w:cs="Times New Roman"/>
          <w:b w:val="0"/>
          <w:bCs w:val="0"/>
          <w:i w:val="0"/>
          <w:iCs w:val="0"/>
          <w:caps w:val="0"/>
          <w:color w:val="000000"/>
          <w:spacing w:val="0"/>
          <w:sz w:val="44"/>
          <w:szCs w:val="44"/>
          <w:highlight w:val="none"/>
          <w:shd w:val="clear" w:fill="FFFFFF"/>
          <w:lang w:eastAsia="zh-CN"/>
        </w:rPr>
        <w:t>巴林左旗</w:t>
      </w:r>
      <w:r>
        <w:rPr>
          <w:rFonts w:hint="default" w:ascii="Times New Roman" w:hAnsi="Times New Roman" w:eastAsia="方正小标宋简体" w:cs="Times New Roman"/>
          <w:b w:val="0"/>
          <w:bCs w:val="0"/>
          <w:i w:val="0"/>
          <w:iCs w:val="0"/>
          <w:caps w:val="0"/>
          <w:color w:val="000000"/>
          <w:spacing w:val="0"/>
          <w:sz w:val="44"/>
          <w:szCs w:val="44"/>
          <w:highlight w:val="none"/>
          <w:shd w:val="clear" w:fill="FFFFFF"/>
        </w:rPr>
        <w:t>人民政府办公室</w:t>
      </w:r>
    </w:p>
    <w:p w14:paraId="2BDAB5AB">
      <w:pPr>
        <w:pStyle w:val="2"/>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方正小标宋简体" w:cs="Times New Roman"/>
          <w:b w:val="0"/>
          <w:bCs w:val="0"/>
          <w:i w:val="0"/>
          <w:iCs w:val="0"/>
          <w:caps w:val="0"/>
          <w:color w:val="000000"/>
          <w:spacing w:val="0"/>
          <w:sz w:val="44"/>
          <w:szCs w:val="44"/>
          <w:highlight w:val="none"/>
          <w:shd w:val="clear" w:fill="FFFFFF"/>
        </w:rPr>
      </w:pPr>
      <w:r>
        <w:rPr>
          <w:rFonts w:hint="default" w:ascii="Times New Roman" w:hAnsi="Times New Roman" w:eastAsia="方正小标宋简体" w:cs="Times New Roman"/>
          <w:b w:val="0"/>
          <w:bCs w:val="0"/>
          <w:i w:val="0"/>
          <w:iCs w:val="0"/>
          <w:caps w:val="0"/>
          <w:color w:val="000000"/>
          <w:spacing w:val="0"/>
          <w:sz w:val="44"/>
          <w:szCs w:val="44"/>
          <w:highlight w:val="none"/>
          <w:shd w:val="clear" w:fill="FFFFFF"/>
        </w:rPr>
        <w:t>关于印发</w:t>
      </w:r>
      <w:r>
        <w:rPr>
          <w:rFonts w:hint="eastAsia" w:ascii="Times New Roman" w:hAnsi="Times New Roman" w:eastAsia="方正小标宋简体" w:cs="Times New Roman"/>
          <w:b w:val="0"/>
          <w:bCs w:val="0"/>
          <w:i w:val="0"/>
          <w:iCs w:val="0"/>
          <w:caps w:val="0"/>
          <w:color w:val="000000"/>
          <w:spacing w:val="0"/>
          <w:sz w:val="44"/>
          <w:szCs w:val="44"/>
          <w:highlight w:val="none"/>
          <w:shd w:val="clear" w:fill="FFFFFF"/>
          <w:lang w:eastAsia="zh-CN"/>
        </w:rPr>
        <w:t>《</w:t>
      </w:r>
      <w:r>
        <w:rPr>
          <w:rFonts w:hint="default" w:ascii="Times New Roman" w:hAnsi="Times New Roman" w:eastAsia="方正小标宋简体" w:cs="Times New Roman"/>
          <w:b w:val="0"/>
          <w:bCs w:val="0"/>
          <w:i w:val="0"/>
          <w:iCs w:val="0"/>
          <w:caps w:val="0"/>
          <w:color w:val="000000"/>
          <w:spacing w:val="0"/>
          <w:sz w:val="44"/>
          <w:szCs w:val="44"/>
          <w:highlight w:val="none"/>
          <w:shd w:val="clear" w:fill="FFFFFF"/>
          <w:lang w:eastAsia="zh-CN"/>
        </w:rPr>
        <w:t>巴林左旗</w:t>
      </w:r>
      <w:r>
        <w:rPr>
          <w:rFonts w:hint="eastAsia" w:ascii="Times New Roman" w:hAnsi="Times New Roman" w:eastAsia="方正小标宋简体" w:cs="Times New Roman"/>
          <w:b w:val="0"/>
          <w:bCs w:val="0"/>
          <w:i w:val="0"/>
          <w:iCs w:val="0"/>
          <w:caps w:val="0"/>
          <w:color w:val="000000"/>
          <w:spacing w:val="0"/>
          <w:sz w:val="44"/>
          <w:szCs w:val="44"/>
          <w:highlight w:val="none"/>
          <w:shd w:val="clear" w:fill="FFFFFF"/>
          <w:lang w:eastAsia="zh-CN"/>
        </w:rPr>
        <w:t>“</w:t>
      </w:r>
      <w:r>
        <w:rPr>
          <w:rFonts w:hint="default" w:ascii="Times New Roman" w:hAnsi="Times New Roman" w:eastAsia="方正小标宋简体" w:cs="Times New Roman"/>
          <w:b w:val="0"/>
          <w:bCs w:val="0"/>
          <w:i w:val="0"/>
          <w:iCs w:val="0"/>
          <w:caps w:val="0"/>
          <w:color w:val="000000"/>
          <w:spacing w:val="0"/>
          <w:sz w:val="44"/>
          <w:szCs w:val="44"/>
          <w:highlight w:val="none"/>
          <w:shd w:val="clear" w:fill="FFFFFF"/>
        </w:rPr>
        <w:t>十四五</w:t>
      </w:r>
      <w:r>
        <w:rPr>
          <w:rFonts w:hint="eastAsia" w:ascii="Times New Roman" w:hAnsi="Times New Roman" w:eastAsia="方正小标宋简体" w:cs="Times New Roman"/>
          <w:b w:val="0"/>
          <w:bCs w:val="0"/>
          <w:i w:val="0"/>
          <w:iCs w:val="0"/>
          <w:caps w:val="0"/>
          <w:color w:val="000000"/>
          <w:spacing w:val="0"/>
          <w:sz w:val="44"/>
          <w:szCs w:val="44"/>
          <w:highlight w:val="none"/>
          <w:shd w:val="clear" w:fill="FFFFFF"/>
          <w:lang w:eastAsia="zh-CN"/>
        </w:rPr>
        <w:t>”</w:t>
      </w:r>
      <w:r>
        <w:rPr>
          <w:rFonts w:hint="default" w:ascii="Times New Roman" w:hAnsi="Times New Roman" w:eastAsia="方正小标宋简体" w:cs="Times New Roman"/>
          <w:b w:val="0"/>
          <w:bCs w:val="0"/>
          <w:i w:val="0"/>
          <w:iCs w:val="0"/>
          <w:caps w:val="0"/>
          <w:color w:val="000000"/>
          <w:spacing w:val="0"/>
          <w:sz w:val="44"/>
          <w:szCs w:val="44"/>
          <w:highlight w:val="none"/>
          <w:shd w:val="clear" w:fill="FFFFFF"/>
        </w:rPr>
        <w:t>残疾人事业</w:t>
      </w:r>
    </w:p>
    <w:p w14:paraId="2D9F5A66">
      <w:pPr>
        <w:pStyle w:val="2"/>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方正小标宋简体" w:cs="Times New Roman"/>
          <w:b w:val="0"/>
          <w:bCs w:val="0"/>
          <w:i w:val="0"/>
          <w:iCs w:val="0"/>
          <w:caps w:val="0"/>
          <w:color w:val="000000"/>
          <w:spacing w:val="0"/>
          <w:sz w:val="44"/>
          <w:szCs w:val="44"/>
          <w:highlight w:val="none"/>
          <w:shd w:val="clear" w:fill="FFFFFF"/>
        </w:rPr>
      </w:pPr>
      <w:r>
        <w:rPr>
          <w:rFonts w:hint="default" w:ascii="Times New Roman" w:hAnsi="Times New Roman" w:eastAsia="方正小标宋简体" w:cs="Times New Roman"/>
          <w:b w:val="0"/>
          <w:bCs w:val="0"/>
          <w:i w:val="0"/>
          <w:iCs w:val="0"/>
          <w:caps w:val="0"/>
          <w:color w:val="000000"/>
          <w:spacing w:val="0"/>
          <w:sz w:val="44"/>
          <w:szCs w:val="44"/>
          <w:highlight w:val="none"/>
          <w:shd w:val="clear" w:fill="FFFFFF"/>
        </w:rPr>
        <w:t>发展规划</w:t>
      </w:r>
      <w:r>
        <w:rPr>
          <w:rFonts w:hint="eastAsia" w:ascii="Times New Roman" w:hAnsi="Times New Roman" w:eastAsia="方正小标宋简体" w:cs="Times New Roman"/>
          <w:b w:val="0"/>
          <w:bCs w:val="0"/>
          <w:i w:val="0"/>
          <w:iCs w:val="0"/>
          <w:caps w:val="0"/>
          <w:color w:val="000000"/>
          <w:spacing w:val="0"/>
          <w:sz w:val="44"/>
          <w:szCs w:val="44"/>
          <w:highlight w:val="none"/>
          <w:shd w:val="clear" w:fill="FFFFFF"/>
          <w:lang w:eastAsia="zh-CN"/>
        </w:rPr>
        <w:t>》</w:t>
      </w:r>
      <w:r>
        <w:rPr>
          <w:rFonts w:hint="default" w:ascii="Times New Roman" w:hAnsi="Times New Roman" w:eastAsia="方正小标宋简体" w:cs="Times New Roman"/>
          <w:b w:val="0"/>
          <w:bCs w:val="0"/>
          <w:i w:val="0"/>
          <w:iCs w:val="0"/>
          <w:caps w:val="0"/>
          <w:color w:val="000000"/>
          <w:spacing w:val="0"/>
          <w:sz w:val="44"/>
          <w:szCs w:val="44"/>
          <w:highlight w:val="none"/>
          <w:shd w:val="clear" w:fill="FFFFFF"/>
        </w:rPr>
        <w:t>的通知</w:t>
      </w:r>
    </w:p>
    <w:p w14:paraId="53D6DB34">
      <w:pPr>
        <w:pStyle w:val="2"/>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简体" w:cs="Times New Roman"/>
          <w:b w:val="0"/>
          <w:bCs w:val="0"/>
          <w:i w:val="0"/>
          <w:iCs w:val="0"/>
          <w:caps w:val="0"/>
          <w:color w:val="000000"/>
          <w:spacing w:val="0"/>
          <w:sz w:val="44"/>
          <w:szCs w:val="44"/>
          <w:highlight w:val="none"/>
          <w:shd w:val="clear" w:fill="FFFFFF"/>
        </w:rPr>
      </w:pPr>
    </w:p>
    <w:p w14:paraId="4E987315">
      <w:pPr>
        <w:pStyle w:val="2"/>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仿宋_GB2312" w:cs="Times New Roman"/>
          <w:b w:val="0"/>
          <w:bCs/>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b w:val="0"/>
          <w:bCs/>
          <w:color w:val="000000" w:themeColor="text1"/>
          <w:sz w:val="32"/>
          <w:szCs w:val="32"/>
          <w:highlight w:val="none"/>
          <w:lang w:eastAsia="zh-CN"/>
          <w14:textFill>
            <w14:solidFill>
              <w14:schemeClr w14:val="tx1"/>
            </w14:solidFill>
          </w14:textFill>
        </w:rPr>
        <w:t>各苏木乡镇党委和政府、街道党工委和管理办公室，旗直各部委办局，各人民团体，各科级事业单位，中区市直驻左旗各单位：</w:t>
      </w:r>
    </w:p>
    <w:p w14:paraId="08046D8A">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right="0" w:firstLine="640" w:firstLineChars="200"/>
        <w:jc w:val="left"/>
        <w:textAlignment w:val="auto"/>
        <w:rPr>
          <w:rFonts w:hint="eastAsia" w:ascii="Times New Roman" w:hAnsi="Times New Roman" w:eastAsia="仿宋_GB2312" w:cs="Times New Roman"/>
          <w:b w:val="0"/>
          <w:bCs/>
          <w:i w:val="0"/>
          <w:iCs w:val="0"/>
          <w:caps w:val="0"/>
          <w:color w:val="000000"/>
          <w:spacing w:val="0"/>
          <w:sz w:val="32"/>
          <w:szCs w:val="32"/>
          <w:highlight w:val="none"/>
          <w:shd w:val="clear" w:fill="FFFFFF"/>
        </w:rPr>
      </w:pPr>
      <w:r>
        <w:rPr>
          <w:rFonts w:hint="default" w:ascii="Times New Roman" w:hAnsi="Times New Roman" w:eastAsia="仿宋_GB2312" w:cs="Times New Roman"/>
          <w:b w:val="0"/>
          <w:bCs/>
          <w:i w:val="0"/>
          <w:iCs w:val="0"/>
          <w:caps w:val="0"/>
          <w:color w:val="000000"/>
          <w:spacing w:val="0"/>
          <w:sz w:val="32"/>
          <w:szCs w:val="32"/>
          <w:highlight w:val="none"/>
          <w:shd w:val="clear" w:fill="FFFFFF"/>
        </w:rPr>
        <w:t>《</w:t>
      </w:r>
      <w:r>
        <w:rPr>
          <w:rFonts w:hint="default" w:ascii="Times New Roman" w:hAnsi="Times New Roman" w:eastAsia="仿宋_GB2312" w:cs="Times New Roman"/>
          <w:b w:val="0"/>
          <w:bCs/>
          <w:i w:val="0"/>
          <w:iCs w:val="0"/>
          <w:caps w:val="0"/>
          <w:color w:val="000000"/>
          <w:spacing w:val="0"/>
          <w:sz w:val="32"/>
          <w:szCs w:val="32"/>
          <w:highlight w:val="none"/>
          <w:shd w:val="clear" w:fill="FFFFFF"/>
          <w:lang w:eastAsia="zh-CN"/>
        </w:rPr>
        <w:t>巴林左旗</w:t>
      </w:r>
      <w:r>
        <w:rPr>
          <w:rFonts w:hint="eastAsia" w:ascii="Times New Roman" w:hAnsi="Times New Roman" w:eastAsia="仿宋_GB2312" w:cs="Times New Roman"/>
          <w:b w:val="0"/>
          <w:bCs/>
          <w:i w:val="0"/>
          <w:iCs w:val="0"/>
          <w:caps w:val="0"/>
          <w:color w:val="000000"/>
          <w:spacing w:val="0"/>
          <w:sz w:val="32"/>
          <w:szCs w:val="32"/>
          <w:highlight w:val="none"/>
          <w:shd w:val="clear" w:fill="FFFFFF"/>
          <w:lang w:eastAsia="zh-CN"/>
        </w:rPr>
        <w:t>“</w:t>
      </w:r>
      <w:r>
        <w:rPr>
          <w:rFonts w:hint="default" w:ascii="Times New Roman" w:hAnsi="Times New Roman" w:eastAsia="仿宋_GB2312" w:cs="Times New Roman"/>
          <w:b w:val="0"/>
          <w:bCs/>
          <w:i w:val="0"/>
          <w:iCs w:val="0"/>
          <w:caps w:val="0"/>
          <w:color w:val="000000"/>
          <w:spacing w:val="0"/>
          <w:sz w:val="32"/>
          <w:szCs w:val="32"/>
          <w:highlight w:val="none"/>
          <w:shd w:val="clear" w:fill="FFFFFF"/>
        </w:rPr>
        <w:t>十四五</w:t>
      </w:r>
      <w:r>
        <w:rPr>
          <w:rFonts w:hint="eastAsia" w:ascii="Times New Roman" w:hAnsi="Times New Roman" w:eastAsia="仿宋_GB2312" w:cs="Times New Roman"/>
          <w:b w:val="0"/>
          <w:bCs/>
          <w:i w:val="0"/>
          <w:iCs w:val="0"/>
          <w:caps w:val="0"/>
          <w:color w:val="000000"/>
          <w:spacing w:val="0"/>
          <w:sz w:val="32"/>
          <w:szCs w:val="32"/>
          <w:highlight w:val="none"/>
          <w:shd w:val="clear" w:fill="FFFFFF"/>
          <w:lang w:eastAsia="zh-CN"/>
        </w:rPr>
        <w:t>”</w:t>
      </w:r>
      <w:r>
        <w:rPr>
          <w:rFonts w:hint="default" w:ascii="Times New Roman" w:hAnsi="Times New Roman" w:eastAsia="仿宋_GB2312" w:cs="Times New Roman"/>
          <w:b w:val="0"/>
          <w:bCs/>
          <w:i w:val="0"/>
          <w:iCs w:val="0"/>
          <w:caps w:val="0"/>
          <w:color w:val="000000"/>
          <w:spacing w:val="0"/>
          <w:sz w:val="32"/>
          <w:szCs w:val="32"/>
          <w:highlight w:val="none"/>
          <w:shd w:val="clear" w:fill="FFFFFF"/>
        </w:rPr>
        <w:t>残疾人事业发展规划》已经</w:t>
      </w:r>
      <w:r>
        <w:rPr>
          <w:rFonts w:hint="eastAsia" w:ascii="Times New Roman" w:hAnsi="Times New Roman" w:eastAsia="仿宋_GB2312" w:cs="Times New Roman"/>
          <w:b w:val="0"/>
          <w:bCs/>
          <w:i w:val="0"/>
          <w:iCs w:val="0"/>
          <w:caps w:val="0"/>
          <w:color w:val="000000"/>
          <w:spacing w:val="0"/>
          <w:sz w:val="32"/>
          <w:szCs w:val="32"/>
          <w:highlight w:val="none"/>
          <w:shd w:val="clear" w:fill="FFFFFF"/>
          <w:lang w:eastAsia="zh-CN"/>
        </w:rPr>
        <w:t>巴林左旗</w:t>
      </w:r>
      <w:r>
        <w:rPr>
          <w:rFonts w:hint="default" w:ascii="Times New Roman" w:hAnsi="Times New Roman" w:eastAsia="仿宋_GB2312" w:cs="Times New Roman"/>
          <w:b w:val="0"/>
          <w:bCs/>
          <w:i w:val="0"/>
          <w:iCs w:val="0"/>
          <w:caps w:val="0"/>
          <w:color w:val="000000"/>
          <w:spacing w:val="0"/>
          <w:sz w:val="32"/>
          <w:szCs w:val="32"/>
          <w:highlight w:val="none"/>
          <w:shd w:val="clear" w:fill="FFFFFF"/>
        </w:rPr>
        <w:t>人民政府2022年第</w:t>
      </w:r>
      <w:r>
        <w:rPr>
          <w:rFonts w:hint="default" w:ascii="Times New Roman" w:hAnsi="Times New Roman" w:eastAsia="仿宋_GB2312" w:cs="Times New Roman"/>
          <w:b w:val="0"/>
          <w:bCs/>
          <w:i w:val="0"/>
          <w:iCs w:val="0"/>
          <w:caps w:val="0"/>
          <w:color w:val="000000"/>
          <w:spacing w:val="0"/>
          <w:sz w:val="32"/>
          <w:szCs w:val="32"/>
          <w:highlight w:val="none"/>
          <w:shd w:val="clear" w:fill="FFFFFF"/>
          <w:lang w:val="en-US"/>
        </w:rPr>
        <w:t>8</w:t>
      </w:r>
      <w:r>
        <w:rPr>
          <w:rFonts w:hint="default" w:ascii="Times New Roman" w:hAnsi="Times New Roman" w:eastAsia="仿宋_GB2312" w:cs="Times New Roman"/>
          <w:b w:val="0"/>
          <w:bCs/>
          <w:i w:val="0"/>
          <w:iCs w:val="0"/>
          <w:caps w:val="0"/>
          <w:color w:val="000000"/>
          <w:spacing w:val="0"/>
          <w:sz w:val="32"/>
          <w:szCs w:val="32"/>
          <w:highlight w:val="none"/>
          <w:shd w:val="clear" w:fill="FFFFFF"/>
        </w:rPr>
        <w:t>次常务会议审议通过，现</w:t>
      </w:r>
      <w:r>
        <w:rPr>
          <w:rFonts w:hint="eastAsia" w:ascii="Times New Roman" w:hAnsi="Times New Roman" w:eastAsia="仿宋_GB2312" w:cs="Times New Roman"/>
          <w:b w:val="0"/>
          <w:bCs/>
          <w:i w:val="0"/>
          <w:iCs w:val="0"/>
          <w:caps w:val="0"/>
          <w:color w:val="000000"/>
          <w:spacing w:val="0"/>
          <w:sz w:val="32"/>
          <w:szCs w:val="32"/>
          <w:highlight w:val="none"/>
          <w:shd w:val="clear" w:fill="FFFFFF"/>
        </w:rPr>
        <w:t>将印发给你们，请结合实际，认真贯彻落实。</w:t>
      </w:r>
    </w:p>
    <w:p w14:paraId="46565729">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right="0" w:firstLine="640" w:firstLineChars="200"/>
        <w:jc w:val="left"/>
        <w:textAlignment w:val="auto"/>
        <w:rPr>
          <w:rFonts w:hint="default" w:ascii="Times New Roman" w:hAnsi="Times New Roman" w:eastAsia="仿宋_GB2312" w:cs="Times New Roman"/>
          <w:b w:val="0"/>
          <w:bCs/>
          <w:i w:val="0"/>
          <w:iCs w:val="0"/>
          <w:caps w:val="0"/>
          <w:color w:val="000000"/>
          <w:spacing w:val="0"/>
          <w:sz w:val="32"/>
          <w:szCs w:val="32"/>
          <w:highlight w:val="none"/>
          <w:shd w:val="clear" w:fill="FFFFFF"/>
        </w:rPr>
      </w:pPr>
    </w:p>
    <w:p w14:paraId="7B06395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right="0" w:firstLine="640" w:firstLineChars="200"/>
        <w:jc w:val="left"/>
        <w:textAlignment w:val="auto"/>
        <w:rPr>
          <w:rFonts w:hint="default" w:ascii="Times New Roman" w:hAnsi="Times New Roman" w:eastAsia="仿宋_GB2312" w:cs="Times New Roman"/>
          <w:b w:val="0"/>
          <w:bCs/>
          <w:i w:val="0"/>
          <w:iCs w:val="0"/>
          <w:caps w:val="0"/>
          <w:color w:val="000000"/>
          <w:spacing w:val="0"/>
          <w:sz w:val="32"/>
          <w:szCs w:val="32"/>
          <w:highlight w:val="none"/>
          <w:shd w:val="clear" w:fill="FFFFFF"/>
          <w:lang w:val="en-US" w:eastAsia="zh-CN"/>
        </w:rPr>
      </w:pPr>
    </w:p>
    <w:p w14:paraId="5FA5B84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right="0" w:firstLine="640" w:firstLineChars="200"/>
        <w:jc w:val="left"/>
        <w:textAlignment w:val="auto"/>
        <w:rPr>
          <w:rFonts w:hint="default" w:ascii="Times New Roman" w:hAnsi="Times New Roman" w:eastAsia="仿宋_GB2312" w:cs="Times New Roman"/>
          <w:b w:val="0"/>
          <w:bCs/>
          <w:i w:val="0"/>
          <w:iCs w:val="0"/>
          <w:caps w:val="0"/>
          <w:color w:val="000000"/>
          <w:spacing w:val="0"/>
          <w:sz w:val="32"/>
          <w:szCs w:val="32"/>
          <w:highlight w:val="none"/>
          <w:shd w:val="clear" w:fill="FFFFFF"/>
          <w:lang w:val="en-US" w:eastAsia="zh-CN"/>
        </w:rPr>
      </w:pPr>
    </w:p>
    <w:p w14:paraId="29EF717A">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00" w:lineRule="exact"/>
        <w:ind w:left="0" w:right="0" w:firstLine="0"/>
        <w:jc w:val="right"/>
        <w:textAlignment w:val="auto"/>
        <w:rPr>
          <w:rFonts w:hint="default" w:ascii="Times New Roman" w:hAnsi="Times New Roman" w:eastAsia="仿宋_GB2312" w:cs="Times New Roman"/>
          <w:b w:val="0"/>
          <w:bCs/>
          <w:i w:val="0"/>
          <w:iCs w:val="0"/>
          <w:caps w:val="0"/>
          <w:color w:val="000000"/>
          <w:spacing w:val="0"/>
          <w:sz w:val="32"/>
          <w:szCs w:val="32"/>
          <w:highlight w:val="none"/>
          <w:shd w:val="clear" w:fill="FFFFFF"/>
          <w:lang w:val="en-US" w:eastAsia="zh-CN"/>
        </w:rPr>
      </w:pPr>
      <w:r>
        <w:rPr>
          <w:rFonts w:hint="eastAsia" w:ascii="Times New Roman" w:hAnsi="Times New Roman" w:eastAsia="仿宋_GB2312" w:cs="Times New Roman"/>
          <w:b w:val="0"/>
          <w:bCs/>
          <w:i w:val="0"/>
          <w:iCs w:val="0"/>
          <w:caps w:val="0"/>
          <w:color w:val="000000"/>
          <w:spacing w:val="0"/>
          <w:sz w:val="32"/>
          <w:szCs w:val="32"/>
          <w:highlight w:val="none"/>
          <w:shd w:val="clear" w:fill="FFFFFF"/>
          <w:lang w:val="en-US" w:eastAsia="zh-CN"/>
        </w:rPr>
        <w:t>巴林左旗人民政府办公室</w:t>
      </w:r>
      <w:r>
        <w:rPr>
          <w:rFonts w:hint="default" w:ascii="Times New Roman" w:hAnsi="Times New Roman" w:eastAsia="仿宋_GB2312" w:cs="Times New Roman"/>
          <w:b w:val="0"/>
          <w:bCs/>
          <w:i w:val="0"/>
          <w:iCs w:val="0"/>
          <w:caps w:val="0"/>
          <w:color w:val="000000"/>
          <w:spacing w:val="0"/>
          <w:sz w:val="32"/>
          <w:szCs w:val="32"/>
          <w:highlight w:val="none"/>
          <w:shd w:val="clear" w:fill="FFFFFF"/>
          <w:lang w:val="en-US" w:eastAsia="zh-CN"/>
        </w:rPr>
        <w:t xml:space="preserve">      </w:t>
      </w:r>
    </w:p>
    <w:p w14:paraId="68B58135">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00" w:lineRule="exact"/>
        <w:ind w:left="0" w:right="0" w:firstLine="5440" w:firstLineChars="1700"/>
        <w:jc w:val="right"/>
        <w:textAlignment w:val="auto"/>
        <w:rPr>
          <w:rFonts w:hint="default" w:ascii="Times New Roman" w:hAnsi="Times New Roman" w:eastAsia="黑体" w:cs="Times New Roman"/>
          <w:b/>
          <w:color w:val="000000" w:themeColor="text1"/>
          <w:sz w:val="56"/>
          <w:szCs w:val="56"/>
          <w:highlight w:val="none"/>
          <w:lang w:eastAsia="zh-CN"/>
          <w14:textFill>
            <w14:solidFill>
              <w14:schemeClr w14:val="tx1"/>
            </w14:solidFill>
          </w14:textFill>
        </w:rPr>
      </w:pPr>
      <w:r>
        <w:rPr>
          <w:rFonts w:hint="default" w:ascii="Times New Roman" w:hAnsi="Times New Roman" w:eastAsia="仿宋_GB2312" w:cs="Times New Roman"/>
          <w:b w:val="0"/>
          <w:bCs/>
          <w:i w:val="0"/>
          <w:iCs w:val="0"/>
          <w:caps w:val="0"/>
          <w:color w:val="000000"/>
          <w:spacing w:val="0"/>
          <w:sz w:val="32"/>
          <w:szCs w:val="32"/>
          <w:highlight w:val="none"/>
          <w:shd w:val="clear" w:fill="FFFFFF"/>
        </w:rPr>
        <w:t>2022年</w:t>
      </w:r>
      <w:r>
        <w:rPr>
          <w:rFonts w:hint="default" w:ascii="Times New Roman" w:hAnsi="Times New Roman" w:eastAsia="仿宋_GB2312" w:cs="Times New Roman"/>
          <w:b w:val="0"/>
          <w:bCs/>
          <w:i w:val="0"/>
          <w:iCs w:val="0"/>
          <w:caps w:val="0"/>
          <w:color w:val="000000"/>
          <w:spacing w:val="0"/>
          <w:sz w:val="32"/>
          <w:szCs w:val="32"/>
          <w:highlight w:val="none"/>
          <w:shd w:val="clear" w:fill="FFFFFF"/>
          <w:lang w:val="en-US"/>
        </w:rPr>
        <w:t>10</w:t>
      </w:r>
      <w:r>
        <w:rPr>
          <w:rFonts w:hint="default" w:ascii="Times New Roman" w:hAnsi="Times New Roman" w:eastAsia="仿宋_GB2312" w:cs="Times New Roman"/>
          <w:b w:val="0"/>
          <w:bCs/>
          <w:i w:val="0"/>
          <w:iCs w:val="0"/>
          <w:caps w:val="0"/>
          <w:color w:val="000000"/>
          <w:spacing w:val="0"/>
          <w:sz w:val="32"/>
          <w:szCs w:val="32"/>
          <w:highlight w:val="none"/>
          <w:shd w:val="clear" w:fill="FFFFFF"/>
        </w:rPr>
        <w:t>月</w:t>
      </w:r>
      <w:r>
        <w:rPr>
          <w:rFonts w:hint="default" w:ascii="Times New Roman" w:hAnsi="Times New Roman" w:eastAsia="仿宋_GB2312" w:cs="Times New Roman"/>
          <w:b w:val="0"/>
          <w:bCs/>
          <w:i w:val="0"/>
          <w:iCs w:val="0"/>
          <w:caps w:val="0"/>
          <w:color w:val="000000"/>
          <w:spacing w:val="0"/>
          <w:sz w:val="32"/>
          <w:szCs w:val="32"/>
          <w:highlight w:val="none"/>
          <w:shd w:val="clear" w:fill="FFFFFF"/>
          <w:lang w:val="en-US"/>
        </w:rPr>
        <w:t>31</w:t>
      </w:r>
      <w:r>
        <w:rPr>
          <w:rFonts w:hint="default" w:ascii="Times New Roman" w:hAnsi="Times New Roman" w:eastAsia="仿宋_GB2312" w:cs="Times New Roman"/>
          <w:b w:val="0"/>
          <w:bCs/>
          <w:i w:val="0"/>
          <w:iCs w:val="0"/>
          <w:caps w:val="0"/>
          <w:color w:val="000000"/>
          <w:spacing w:val="0"/>
          <w:sz w:val="32"/>
          <w:szCs w:val="32"/>
          <w:highlight w:val="none"/>
          <w:shd w:val="clear" w:fill="FFFFFF"/>
        </w:rPr>
        <w:t>日</w:t>
      </w:r>
      <w:r>
        <w:rPr>
          <w:rFonts w:hint="default" w:ascii="Times New Roman" w:hAnsi="Times New Roman" w:eastAsia="仿宋_GB2312" w:cs="Times New Roman"/>
          <w:b w:val="0"/>
          <w:bCs/>
          <w:i w:val="0"/>
          <w:iCs w:val="0"/>
          <w:caps w:val="0"/>
          <w:color w:val="000000"/>
          <w:spacing w:val="0"/>
          <w:sz w:val="32"/>
          <w:szCs w:val="32"/>
          <w:highlight w:val="none"/>
          <w:shd w:val="clear" w:fill="FFFFFF"/>
          <w:lang w:val="en-US"/>
        </w:rPr>
        <w:t xml:space="preserve">          </w:t>
      </w:r>
    </w:p>
    <w:p w14:paraId="3CA57994">
      <w:pPr>
        <w:pStyle w:val="2"/>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default" w:ascii="Times New Roman" w:hAnsi="Times New Roman" w:eastAsia="方正小标宋简体" w:cs="Times New Roman"/>
          <w:b w:val="0"/>
          <w:bCs/>
          <w:color w:val="000000" w:themeColor="text1"/>
          <w:sz w:val="56"/>
          <w:szCs w:val="56"/>
          <w:highlight w:val="none"/>
          <w:lang w:eastAsia="zh-CN"/>
          <w14:textFill>
            <w14:solidFill>
              <w14:schemeClr w14:val="tx1"/>
            </w14:solidFill>
          </w14:textFill>
        </w:rPr>
      </w:pPr>
      <w:r>
        <w:rPr>
          <w:rFonts w:hint="default" w:ascii="Times New Roman" w:hAnsi="Times New Roman" w:eastAsia="方正小标宋简体" w:cs="Times New Roman"/>
          <w:b w:val="0"/>
          <w:bCs/>
          <w:color w:val="000000" w:themeColor="text1"/>
          <w:sz w:val="56"/>
          <w:szCs w:val="56"/>
          <w:highlight w:val="none"/>
          <w:lang w:eastAsia="zh-CN"/>
          <w14:textFill>
            <w14:solidFill>
              <w14:schemeClr w14:val="tx1"/>
            </w14:solidFill>
          </w14:textFill>
        </w:rPr>
        <w:t>巴林左旗</w:t>
      </w:r>
    </w:p>
    <w:p w14:paraId="407C9134">
      <w:pPr>
        <w:pStyle w:val="2"/>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default" w:ascii="Times New Roman" w:hAnsi="Times New Roman" w:eastAsia="方正小标宋简体" w:cs="Times New Roman"/>
          <w:b w:val="0"/>
          <w:bCs/>
          <w:color w:val="000000" w:themeColor="text1"/>
          <w:sz w:val="56"/>
          <w:szCs w:val="56"/>
          <w:highlight w:val="none"/>
          <w14:textFill>
            <w14:solidFill>
              <w14:schemeClr w14:val="tx1"/>
            </w14:solidFill>
          </w14:textFill>
        </w:rPr>
      </w:pPr>
      <w:r>
        <w:rPr>
          <w:rFonts w:hint="eastAsia" w:ascii="Times New Roman" w:hAnsi="Times New Roman" w:eastAsia="方正小标宋简体" w:cs="Times New Roman"/>
          <w:b w:val="0"/>
          <w:bCs/>
          <w:color w:val="000000" w:themeColor="text1"/>
          <w:sz w:val="56"/>
          <w:szCs w:val="56"/>
          <w:highlight w:val="none"/>
          <w:lang w:eastAsia="zh-CN"/>
          <w14:textFill>
            <w14:solidFill>
              <w14:schemeClr w14:val="tx1"/>
            </w14:solidFill>
          </w14:textFill>
        </w:rPr>
        <w:t>“</w:t>
      </w:r>
      <w:r>
        <w:rPr>
          <w:rFonts w:hint="default" w:ascii="Times New Roman" w:hAnsi="Times New Roman" w:eastAsia="方正小标宋简体" w:cs="Times New Roman"/>
          <w:b w:val="0"/>
          <w:bCs/>
          <w:color w:val="000000" w:themeColor="text1"/>
          <w:sz w:val="56"/>
          <w:szCs w:val="56"/>
          <w:highlight w:val="none"/>
          <w14:textFill>
            <w14:solidFill>
              <w14:schemeClr w14:val="tx1"/>
            </w14:solidFill>
          </w14:textFill>
        </w:rPr>
        <w:t>十四五</w:t>
      </w:r>
      <w:r>
        <w:rPr>
          <w:rFonts w:hint="eastAsia" w:ascii="Times New Roman" w:hAnsi="Times New Roman" w:eastAsia="方正小标宋简体" w:cs="Times New Roman"/>
          <w:b w:val="0"/>
          <w:bCs/>
          <w:color w:val="000000" w:themeColor="text1"/>
          <w:sz w:val="56"/>
          <w:szCs w:val="56"/>
          <w:highlight w:val="none"/>
          <w:lang w:eastAsia="zh-CN"/>
          <w14:textFill>
            <w14:solidFill>
              <w14:schemeClr w14:val="tx1"/>
            </w14:solidFill>
          </w14:textFill>
        </w:rPr>
        <w:t>”</w:t>
      </w:r>
      <w:r>
        <w:rPr>
          <w:rFonts w:hint="default" w:ascii="Times New Roman" w:hAnsi="Times New Roman" w:eastAsia="方正小标宋简体" w:cs="Times New Roman"/>
          <w:b w:val="0"/>
          <w:bCs/>
          <w:color w:val="000000" w:themeColor="text1"/>
          <w:sz w:val="56"/>
          <w:szCs w:val="56"/>
          <w:highlight w:val="none"/>
          <w14:textFill>
            <w14:solidFill>
              <w14:schemeClr w14:val="tx1"/>
            </w14:solidFill>
          </w14:textFill>
        </w:rPr>
        <w:t>残疾人事业发展规划</w:t>
      </w:r>
    </w:p>
    <w:p w14:paraId="47BBEE08">
      <w:pPr>
        <w:pStyle w:val="2"/>
        <w:keepNext w:val="0"/>
        <w:keepLines w:val="0"/>
        <w:pageBreakBefore w:val="0"/>
        <w:kinsoku/>
        <w:overflowPunct/>
        <w:topLinePunct w:val="0"/>
        <w:autoSpaceDE/>
        <w:autoSpaceDN/>
        <w:bidi w:val="0"/>
        <w:adjustRightInd/>
        <w:spacing w:line="540" w:lineRule="exact"/>
        <w:jc w:val="both"/>
        <w:textAlignment w:val="auto"/>
        <w:rPr>
          <w:rFonts w:hint="default" w:ascii="Times New Roman" w:hAnsi="Times New Roman" w:eastAsia="楷体_GB2312" w:cs="Times New Roman"/>
          <w:b/>
          <w:color w:val="000000" w:themeColor="text1"/>
          <w:sz w:val="32"/>
          <w:szCs w:val="32"/>
          <w:highlight w:val="none"/>
          <w14:textFill>
            <w14:solidFill>
              <w14:schemeClr w14:val="tx1"/>
            </w14:solidFill>
          </w14:textFill>
        </w:rPr>
      </w:pPr>
    </w:p>
    <w:p w14:paraId="5A34F253">
      <w:pPr>
        <w:pStyle w:val="2"/>
        <w:keepNext w:val="0"/>
        <w:keepLines w:val="0"/>
        <w:pageBreakBefore w:val="0"/>
        <w:kinsoku/>
        <w:overflowPunct/>
        <w:topLinePunct w:val="0"/>
        <w:autoSpaceDE/>
        <w:autoSpaceDN/>
        <w:bidi w:val="0"/>
        <w:adjustRightInd/>
        <w:spacing w:line="540" w:lineRule="exact"/>
        <w:jc w:val="both"/>
        <w:textAlignment w:val="auto"/>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p>
    <w:p w14:paraId="614331F0">
      <w:pPr>
        <w:pStyle w:val="2"/>
        <w:keepNext w:val="0"/>
        <w:keepLines w:val="0"/>
        <w:pageBreakBefore w:val="0"/>
        <w:kinsoku/>
        <w:overflowPunct/>
        <w:topLinePunct w:val="0"/>
        <w:autoSpaceDE/>
        <w:autoSpaceDN/>
        <w:bidi w:val="0"/>
        <w:adjustRightInd/>
        <w:spacing w:line="540" w:lineRule="exact"/>
        <w:jc w:val="both"/>
        <w:textAlignment w:val="auto"/>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p>
    <w:p w14:paraId="0484D7D6">
      <w:pPr>
        <w:pStyle w:val="2"/>
        <w:keepNext w:val="0"/>
        <w:keepLines w:val="0"/>
        <w:pageBreakBefore w:val="0"/>
        <w:kinsoku/>
        <w:overflowPunct/>
        <w:topLinePunct w:val="0"/>
        <w:autoSpaceDE/>
        <w:autoSpaceDN/>
        <w:bidi w:val="0"/>
        <w:adjustRightInd/>
        <w:spacing w:line="540" w:lineRule="exact"/>
        <w:jc w:val="both"/>
        <w:textAlignment w:val="auto"/>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p>
    <w:p w14:paraId="7F179364">
      <w:pPr>
        <w:pStyle w:val="2"/>
        <w:keepNext w:val="0"/>
        <w:keepLines w:val="0"/>
        <w:pageBreakBefore w:val="0"/>
        <w:kinsoku/>
        <w:overflowPunct/>
        <w:topLinePunct w:val="0"/>
        <w:autoSpaceDE/>
        <w:autoSpaceDN/>
        <w:bidi w:val="0"/>
        <w:adjustRightInd/>
        <w:spacing w:line="540" w:lineRule="exact"/>
        <w:jc w:val="both"/>
        <w:textAlignment w:val="auto"/>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p>
    <w:p w14:paraId="5AC39373">
      <w:pPr>
        <w:pStyle w:val="2"/>
        <w:keepNext w:val="0"/>
        <w:keepLines w:val="0"/>
        <w:pageBreakBefore w:val="0"/>
        <w:kinsoku/>
        <w:overflowPunct/>
        <w:topLinePunct w:val="0"/>
        <w:autoSpaceDE/>
        <w:autoSpaceDN/>
        <w:bidi w:val="0"/>
        <w:adjustRightInd/>
        <w:spacing w:line="540" w:lineRule="exact"/>
        <w:jc w:val="both"/>
        <w:textAlignment w:val="auto"/>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p>
    <w:p w14:paraId="7497C719">
      <w:pPr>
        <w:pStyle w:val="2"/>
        <w:keepNext w:val="0"/>
        <w:keepLines w:val="0"/>
        <w:pageBreakBefore w:val="0"/>
        <w:kinsoku/>
        <w:overflowPunct/>
        <w:topLinePunct w:val="0"/>
        <w:autoSpaceDE/>
        <w:autoSpaceDN/>
        <w:bidi w:val="0"/>
        <w:adjustRightInd/>
        <w:spacing w:line="540" w:lineRule="exact"/>
        <w:jc w:val="both"/>
        <w:textAlignment w:val="auto"/>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p>
    <w:p w14:paraId="59BEAED8">
      <w:pPr>
        <w:pStyle w:val="2"/>
        <w:keepNext w:val="0"/>
        <w:keepLines w:val="0"/>
        <w:pageBreakBefore w:val="0"/>
        <w:kinsoku/>
        <w:overflowPunct/>
        <w:topLinePunct w:val="0"/>
        <w:autoSpaceDE/>
        <w:autoSpaceDN/>
        <w:bidi w:val="0"/>
        <w:adjustRightInd/>
        <w:spacing w:line="540" w:lineRule="exact"/>
        <w:jc w:val="both"/>
        <w:textAlignment w:val="auto"/>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p>
    <w:p w14:paraId="07E0C0F4">
      <w:pPr>
        <w:pStyle w:val="2"/>
        <w:keepNext w:val="0"/>
        <w:keepLines w:val="0"/>
        <w:pageBreakBefore w:val="0"/>
        <w:kinsoku/>
        <w:overflowPunct/>
        <w:topLinePunct w:val="0"/>
        <w:autoSpaceDE/>
        <w:autoSpaceDN/>
        <w:bidi w:val="0"/>
        <w:adjustRightInd/>
        <w:spacing w:line="540" w:lineRule="exact"/>
        <w:jc w:val="both"/>
        <w:textAlignment w:val="auto"/>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p>
    <w:p w14:paraId="6164E988">
      <w:pPr>
        <w:pStyle w:val="2"/>
        <w:keepNext w:val="0"/>
        <w:keepLines w:val="0"/>
        <w:pageBreakBefore w:val="0"/>
        <w:kinsoku/>
        <w:overflowPunct/>
        <w:topLinePunct w:val="0"/>
        <w:autoSpaceDE/>
        <w:autoSpaceDN/>
        <w:bidi w:val="0"/>
        <w:adjustRightInd/>
        <w:spacing w:line="540" w:lineRule="exact"/>
        <w:jc w:val="both"/>
        <w:textAlignment w:val="auto"/>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p>
    <w:p w14:paraId="6D573A35">
      <w:pPr>
        <w:pStyle w:val="2"/>
        <w:keepNext w:val="0"/>
        <w:keepLines w:val="0"/>
        <w:pageBreakBefore w:val="0"/>
        <w:kinsoku/>
        <w:overflowPunct/>
        <w:topLinePunct w:val="0"/>
        <w:autoSpaceDE/>
        <w:autoSpaceDN/>
        <w:bidi w:val="0"/>
        <w:adjustRightInd/>
        <w:spacing w:line="540" w:lineRule="exact"/>
        <w:jc w:val="both"/>
        <w:textAlignment w:val="auto"/>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p>
    <w:p w14:paraId="2FFCF086">
      <w:pPr>
        <w:pStyle w:val="2"/>
        <w:keepNext w:val="0"/>
        <w:keepLines w:val="0"/>
        <w:pageBreakBefore w:val="0"/>
        <w:kinsoku/>
        <w:overflowPunct/>
        <w:topLinePunct w:val="0"/>
        <w:autoSpaceDE/>
        <w:autoSpaceDN/>
        <w:bidi w:val="0"/>
        <w:adjustRightInd/>
        <w:spacing w:line="540" w:lineRule="exact"/>
        <w:jc w:val="both"/>
        <w:textAlignment w:val="auto"/>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p>
    <w:p w14:paraId="2EC49C4A">
      <w:pPr>
        <w:pStyle w:val="2"/>
        <w:keepNext w:val="0"/>
        <w:keepLines w:val="0"/>
        <w:pageBreakBefore w:val="0"/>
        <w:kinsoku/>
        <w:overflowPunct/>
        <w:topLinePunct w:val="0"/>
        <w:autoSpaceDE/>
        <w:autoSpaceDN/>
        <w:bidi w:val="0"/>
        <w:adjustRightInd/>
        <w:spacing w:line="540" w:lineRule="exact"/>
        <w:jc w:val="both"/>
        <w:textAlignment w:val="auto"/>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p>
    <w:p w14:paraId="0A34F86E">
      <w:pPr>
        <w:pStyle w:val="2"/>
        <w:keepNext w:val="0"/>
        <w:keepLines w:val="0"/>
        <w:pageBreakBefore w:val="0"/>
        <w:kinsoku/>
        <w:overflowPunct/>
        <w:topLinePunct w:val="0"/>
        <w:autoSpaceDE/>
        <w:autoSpaceDN/>
        <w:bidi w:val="0"/>
        <w:adjustRightInd/>
        <w:spacing w:line="540" w:lineRule="exact"/>
        <w:jc w:val="both"/>
        <w:textAlignment w:val="auto"/>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p>
    <w:p w14:paraId="4EE9B3F5">
      <w:pPr>
        <w:pStyle w:val="2"/>
        <w:keepNext w:val="0"/>
        <w:keepLines w:val="0"/>
        <w:pageBreakBefore w:val="0"/>
        <w:kinsoku/>
        <w:overflowPunct/>
        <w:topLinePunct w:val="0"/>
        <w:autoSpaceDE/>
        <w:autoSpaceDN/>
        <w:bidi w:val="0"/>
        <w:adjustRightInd/>
        <w:spacing w:line="540" w:lineRule="exact"/>
        <w:jc w:val="both"/>
        <w:textAlignment w:val="auto"/>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p>
    <w:p w14:paraId="29D11CE4">
      <w:pPr>
        <w:pStyle w:val="2"/>
        <w:keepNext w:val="0"/>
        <w:keepLines w:val="0"/>
        <w:pageBreakBefore w:val="0"/>
        <w:kinsoku/>
        <w:overflowPunct/>
        <w:topLinePunct w:val="0"/>
        <w:autoSpaceDE/>
        <w:autoSpaceDN/>
        <w:bidi w:val="0"/>
        <w:adjustRightInd/>
        <w:spacing w:line="540" w:lineRule="exact"/>
        <w:jc w:val="both"/>
        <w:textAlignment w:val="auto"/>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p>
    <w:p w14:paraId="0AEBB518">
      <w:pPr>
        <w:pStyle w:val="2"/>
        <w:keepNext w:val="0"/>
        <w:keepLines w:val="0"/>
        <w:pageBreakBefore w:val="0"/>
        <w:kinsoku/>
        <w:overflowPunct/>
        <w:topLinePunct w:val="0"/>
        <w:autoSpaceDE/>
        <w:autoSpaceDN/>
        <w:bidi w:val="0"/>
        <w:adjustRightInd/>
        <w:spacing w:line="540" w:lineRule="exact"/>
        <w:jc w:val="both"/>
        <w:textAlignment w:val="auto"/>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p>
    <w:p w14:paraId="6D7B2B76">
      <w:pPr>
        <w:pStyle w:val="2"/>
        <w:keepNext w:val="0"/>
        <w:keepLines w:val="0"/>
        <w:pageBreakBefore w:val="0"/>
        <w:kinsoku/>
        <w:overflowPunct/>
        <w:topLinePunct w:val="0"/>
        <w:autoSpaceDE/>
        <w:autoSpaceDN/>
        <w:bidi w:val="0"/>
        <w:adjustRightInd/>
        <w:spacing w:line="540" w:lineRule="exact"/>
        <w:jc w:val="both"/>
        <w:textAlignment w:val="auto"/>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p>
    <w:p w14:paraId="7613A5CA">
      <w:pPr>
        <w:pStyle w:val="2"/>
        <w:keepNext w:val="0"/>
        <w:keepLines w:val="0"/>
        <w:pageBreakBefore w:val="0"/>
        <w:kinsoku/>
        <w:overflowPunct/>
        <w:topLinePunct w:val="0"/>
        <w:autoSpaceDE/>
        <w:autoSpaceDN/>
        <w:bidi w:val="0"/>
        <w:adjustRightInd/>
        <w:spacing w:line="540" w:lineRule="exact"/>
        <w:jc w:val="both"/>
        <w:textAlignment w:val="auto"/>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p>
    <w:p w14:paraId="4A63B324">
      <w:pPr>
        <w:pStyle w:val="2"/>
        <w:keepNext w:val="0"/>
        <w:keepLines w:val="0"/>
        <w:pageBreakBefore w:val="0"/>
        <w:kinsoku/>
        <w:overflowPunct/>
        <w:topLinePunct w:val="0"/>
        <w:autoSpaceDE/>
        <w:autoSpaceDN/>
        <w:bidi w:val="0"/>
        <w:adjustRightInd/>
        <w:spacing w:line="540" w:lineRule="exact"/>
        <w:jc w:val="center"/>
        <w:textAlignment w:val="auto"/>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r>
        <w:rPr>
          <w:rFonts w:hint="default" w:ascii="Times New Roman" w:hAnsi="Times New Roman" w:eastAsia="楷体_GB2312" w:cs="Times New Roman"/>
          <w:bCs/>
          <w:color w:val="000000" w:themeColor="text1"/>
          <w:sz w:val="32"/>
          <w:szCs w:val="32"/>
          <w:highlight w:val="none"/>
          <w:lang w:eastAsia="zh-CN"/>
          <w14:textFill>
            <w14:solidFill>
              <w14:schemeClr w14:val="tx1"/>
            </w14:solidFill>
          </w14:textFill>
        </w:rPr>
        <w:t>巴林左旗</w:t>
      </w:r>
      <w:r>
        <w:rPr>
          <w:rFonts w:hint="default" w:ascii="Times New Roman" w:hAnsi="Times New Roman" w:eastAsia="楷体_GB2312" w:cs="Times New Roman"/>
          <w:bCs/>
          <w:color w:val="000000" w:themeColor="text1"/>
          <w:sz w:val="32"/>
          <w:szCs w:val="32"/>
          <w:highlight w:val="none"/>
          <w14:textFill>
            <w14:solidFill>
              <w14:schemeClr w14:val="tx1"/>
            </w14:solidFill>
          </w14:textFill>
        </w:rPr>
        <w:t>残疾人联合会</w:t>
      </w:r>
    </w:p>
    <w:p w14:paraId="029452E3">
      <w:pPr>
        <w:pStyle w:val="2"/>
        <w:keepNext w:val="0"/>
        <w:keepLines w:val="0"/>
        <w:pageBreakBefore w:val="0"/>
        <w:kinsoku/>
        <w:overflowPunct/>
        <w:topLinePunct w:val="0"/>
        <w:autoSpaceDE/>
        <w:autoSpaceDN/>
        <w:bidi w:val="0"/>
        <w:adjustRightInd/>
        <w:spacing w:line="540" w:lineRule="exact"/>
        <w:jc w:val="center"/>
        <w:textAlignment w:val="auto"/>
        <w:rPr>
          <w:rFonts w:hint="default" w:ascii="Times New Roman" w:hAnsi="Times New Roman" w:eastAsia="楷体_GB2312" w:cs="Times New Roman"/>
          <w:bCs/>
          <w:color w:val="000000" w:themeColor="text1"/>
          <w:sz w:val="32"/>
          <w:szCs w:val="32"/>
          <w:highlight w:val="none"/>
          <w14:textFill>
            <w14:solidFill>
              <w14:schemeClr w14:val="tx1"/>
            </w14:solidFill>
          </w14:textFill>
        </w:rPr>
        <w:sectPr>
          <w:footerReference r:id="rId3" w:type="default"/>
          <w:pgSz w:w="11906" w:h="16838"/>
          <w:pgMar w:top="2098" w:right="1474" w:bottom="1701" w:left="1474" w:header="851" w:footer="1417" w:gutter="0"/>
          <w:pgNumType w:fmt="numberInDash"/>
          <w:cols w:space="720" w:num="1"/>
          <w:docGrid w:type="lines" w:linePitch="312" w:charSpace="0"/>
        </w:sectPr>
      </w:pPr>
      <w:r>
        <w:rPr>
          <w:rFonts w:hint="default" w:ascii="Times New Roman" w:hAnsi="Times New Roman" w:eastAsia="楷体_GB2312" w:cs="Times New Roman"/>
          <w:bCs/>
          <w:color w:val="000000" w:themeColor="text1"/>
          <w:sz w:val="32"/>
          <w:szCs w:val="32"/>
          <w:highlight w:val="none"/>
          <w14:textFill>
            <w14:solidFill>
              <w14:schemeClr w14:val="tx1"/>
            </w14:solidFill>
          </w14:textFill>
        </w:rPr>
        <w:t>2022年</w:t>
      </w:r>
      <w:r>
        <w:rPr>
          <w:rFonts w:hint="default" w:ascii="Times New Roman" w:hAnsi="Times New Roman" w:eastAsia="楷体_GB2312" w:cs="Times New Roman"/>
          <w:bCs/>
          <w:color w:val="000000" w:themeColor="text1"/>
          <w:sz w:val="32"/>
          <w:szCs w:val="32"/>
          <w:highlight w:val="none"/>
          <w:lang w:val="en-US" w:eastAsia="zh-CN"/>
          <w14:textFill>
            <w14:solidFill>
              <w14:schemeClr w14:val="tx1"/>
            </w14:solidFill>
          </w14:textFill>
        </w:rPr>
        <w:t>6</w:t>
      </w:r>
      <w:r>
        <w:rPr>
          <w:rFonts w:hint="eastAsia" w:ascii="Times New Roman" w:hAnsi="Times New Roman" w:eastAsia="楷体_GB2312" w:cs="Times New Roman"/>
          <w:bCs/>
          <w:color w:val="000000" w:themeColor="text1"/>
          <w:sz w:val="32"/>
          <w:szCs w:val="32"/>
          <w:highlight w:val="none"/>
          <w:lang w:val="en-US" w:eastAsia="zh-CN"/>
          <w14:textFill>
            <w14:solidFill>
              <w14:schemeClr w14:val="tx1"/>
            </w14:solidFill>
          </w14:textFill>
        </w:rPr>
        <w:t>月</w:t>
      </w:r>
    </w:p>
    <w:p w14:paraId="15269C30">
      <w:pPr>
        <w:jc w:val="center"/>
        <w:rPr>
          <w:rFonts w:hint="eastAsia" w:ascii="黑体" w:hAnsi="黑体" w:eastAsia="黑体" w:cs="黑体"/>
          <w:sz w:val="44"/>
          <w:szCs w:val="44"/>
        </w:rPr>
      </w:pPr>
      <w:bookmarkStart w:id="0" w:name="_Toc19846"/>
      <w:r>
        <w:rPr>
          <w:rFonts w:hint="eastAsia" w:ascii="黑体" w:hAnsi="黑体" w:eastAsia="黑体" w:cs="黑体"/>
          <w:sz w:val="44"/>
          <w:szCs w:val="44"/>
        </w:rPr>
        <w:t>目  录</w:t>
      </w:r>
    </w:p>
    <w:p w14:paraId="04212DAA">
      <w:pPr>
        <w:rPr>
          <w:rFonts w:hint="default"/>
        </w:rPr>
      </w:pPr>
      <w:r>
        <w:rPr>
          <w:rFonts w:hint="default"/>
        </w:rPr>
        <w:fldChar w:fldCharType="begin"/>
      </w:r>
      <w:r>
        <w:rPr>
          <w:rFonts w:hint="default"/>
        </w:rPr>
        <w:instrText xml:space="preserve">TOC \o "1-3" \h \u </w:instrText>
      </w:r>
      <w:r>
        <w:rPr>
          <w:rFonts w:hint="default"/>
        </w:rPr>
        <w:fldChar w:fldCharType="separate"/>
      </w:r>
    </w:p>
    <w:p w14:paraId="169D304D">
      <w:pPr>
        <w:rPr>
          <w:rFonts w:hint="default"/>
        </w:rPr>
      </w:pPr>
      <w:r>
        <w:rPr>
          <w:rFonts w:hint="eastAsia"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一</w:t>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w:t>
      </w:r>
      <w:r>
        <w:rPr>
          <w:rFonts w:hint="eastAsia"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编制背景</w:t>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.................................................................................................1</w:t>
      </w:r>
      <w:r>
        <w:rPr>
          <w:rFonts w:hint="default"/>
        </w:rPr>
        <w:fldChar w:fldCharType="begin"/>
      </w:r>
      <w:r>
        <w:rPr>
          <w:rFonts w:hint="default"/>
        </w:rPr>
        <w:instrText xml:space="preserve"> HYPERLINK \l "_Toc2869" </w:instrText>
      </w:r>
      <w:r>
        <w:rPr>
          <w:rFonts w:hint="default"/>
        </w:rPr>
        <w:fldChar w:fldCharType="separate"/>
      </w:r>
    </w:p>
    <w:p w14:paraId="6ED2A74F">
      <w:pPr>
        <w:rPr>
          <w:rFonts w:hint="default"/>
        </w:rPr>
      </w:pP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二、总体思路与奋斗目标.............................................................................2</w:t>
      </w:r>
      <w:r>
        <w:rPr>
          <w:rFonts w:hint="default"/>
        </w:rPr>
        <w:fldChar w:fldCharType="end"/>
      </w:r>
    </w:p>
    <w:p w14:paraId="01DCF018">
      <w:pPr>
        <w:rPr>
          <w:rFonts w:hint="default"/>
        </w:rPr>
      </w:pPr>
      <w:r>
        <w:rPr>
          <w:rFonts w:hint="default"/>
        </w:rPr>
        <w:fldChar w:fldCharType="begin"/>
      </w:r>
      <w:r>
        <w:rPr>
          <w:rFonts w:hint="default"/>
        </w:rPr>
        <w:instrText xml:space="preserve"> HYPERLINK \l "_Toc26235" </w:instrText>
      </w:r>
      <w:r>
        <w:rPr>
          <w:rFonts w:hint="default"/>
        </w:rPr>
        <w:fldChar w:fldCharType="separate"/>
      </w:r>
      <w:r>
        <w:rPr>
          <w:rFonts w:hint="default" w:ascii="楷体_GB2312" w:hAnsi="楷体_GB2312" w:eastAsia="楷体_GB2312" w:cs="楷体_GB2312"/>
          <w:sz w:val="28"/>
          <w:szCs w:val="28"/>
        </w:rPr>
        <w:t>（一）指</w:t>
      </w:r>
      <w:r>
        <w:rPr>
          <w:rFonts w:hint="eastAsia" w:ascii="楷体_GB2312" w:hAnsi="楷体_GB2312" w:eastAsia="楷体_GB2312" w:cs="楷体_GB2312"/>
          <w:sz w:val="28"/>
          <w:szCs w:val="28"/>
        </w:rPr>
        <w:t>导思</w:t>
      </w:r>
      <w:r>
        <w:rPr>
          <w:rFonts w:hint="default" w:ascii="楷体_GB2312" w:hAnsi="楷体_GB2312" w:eastAsia="楷体_GB2312" w:cs="楷体_GB2312"/>
          <w:sz w:val="28"/>
          <w:szCs w:val="28"/>
        </w:rPr>
        <w:t>想</w:t>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.............................................................................................2</w:t>
      </w:r>
      <w:r>
        <w:rPr>
          <w:rFonts w:hint="default"/>
        </w:rPr>
        <w:fldChar w:fldCharType="end"/>
      </w:r>
    </w:p>
    <w:p w14:paraId="1CF4F543">
      <w:pPr>
        <w:rPr>
          <w:rFonts w:hint="default"/>
        </w:rPr>
      </w:pPr>
      <w:r>
        <w:rPr>
          <w:rFonts w:hint="default"/>
        </w:rPr>
        <w:fldChar w:fldCharType="begin"/>
      </w:r>
      <w:r>
        <w:rPr>
          <w:rFonts w:hint="default"/>
        </w:rPr>
        <w:instrText xml:space="preserve"> HYPERLINK \l "_Toc24426" </w:instrText>
      </w:r>
      <w:r>
        <w:rPr>
          <w:rFonts w:hint="default"/>
        </w:rPr>
        <w:fldChar w:fldCharType="separate"/>
      </w:r>
      <w:r>
        <w:rPr>
          <w:rFonts w:hint="default" w:ascii="楷体_GB2312" w:hAnsi="楷体_GB2312" w:eastAsia="楷体_GB2312" w:cs="楷体_GB2312"/>
          <w:sz w:val="28"/>
          <w:szCs w:val="28"/>
        </w:rPr>
        <w:t>（二）基本原则</w:t>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.............................................................................................3</w:t>
      </w:r>
      <w:r>
        <w:rPr>
          <w:rFonts w:hint="default"/>
        </w:rPr>
        <w:fldChar w:fldCharType="end"/>
      </w:r>
    </w:p>
    <w:p w14:paraId="1F438AD7">
      <w:pPr>
        <w:rPr>
          <w:rFonts w:hint="default"/>
        </w:rPr>
      </w:pPr>
      <w:r>
        <w:rPr>
          <w:rFonts w:hint="default"/>
        </w:rPr>
        <w:fldChar w:fldCharType="begin"/>
      </w:r>
      <w:r>
        <w:rPr>
          <w:rFonts w:hint="default"/>
        </w:rPr>
        <w:instrText xml:space="preserve"> HYPERLINK \l "_Toc3589" </w:instrText>
      </w:r>
      <w:r>
        <w:rPr>
          <w:rFonts w:hint="default"/>
        </w:rPr>
        <w:fldChar w:fldCharType="separate"/>
      </w:r>
      <w:r>
        <w:rPr>
          <w:rFonts w:hint="default" w:ascii="楷体_GB2312" w:hAnsi="楷体_GB2312" w:eastAsia="楷体_GB2312" w:cs="楷体_GB2312"/>
          <w:sz w:val="28"/>
          <w:szCs w:val="28"/>
        </w:rPr>
        <w:t>（三）发展目标</w:t>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.............................................................................................4</w:t>
      </w:r>
      <w:r>
        <w:rPr>
          <w:rFonts w:hint="default"/>
        </w:rPr>
        <w:fldChar w:fldCharType="end"/>
      </w:r>
    </w:p>
    <w:p w14:paraId="06DEC584">
      <w:pPr>
        <w:rPr>
          <w:rFonts w:hint="default"/>
        </w:rPr>
      </w:pPr>
      <w:r>
        <w:rPr>
          <w:rFonts w:hint="default"/>
        </w:rPr>
        <w:fldChar w:fldCharType="begin"/>
      </w:r>
      <w:r>
        <w:rPr>
          <w:rFonts w:hint="default"/>
        </w:rPr>
        <w:instrText xml:space="preserve"> HYPERLINK \l "_Toc18667" </w:instrText>
      </w:r>
      <w:r>
        <w:rPr>
          <w:rFonts w:hint="default"/>
        </w:rPr>
        <w:fldChar w:fldCharType="separate"/>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三、主要任务与工作重点.............................................................................6</w:t>
      </w:r>
      <w:r>
        <w:rPr>
          <w:rFonts w:hint="default"/>
        </w:rPr>
        <w:fldChar w:fldCharType="end"/>
      </w:r>
    </w:p>
    <w:p w14:paraId="781677DE">
      <w:pPr>
        <w:rPr>
          <w:rFonts w:hint="default"/>
        </w:rPr>
      </w:pPr>
      <w:r>
        <w:rPr>
          <w:rFonts w:hint="default"/>
        </w:rPr>
        <w:fldChar w:fldCharType="begin"/>
      </w:r>
      <w:r>
        <w:rPr>
          <w:rFonts w:hint="default"/>
        </w:rPr>
        <w:instrText xml:space="preserve"> HYPERLINK \l "_Toc19265" </w:instrText>
      </w:r>
      <w:r>
        <w:rPr>
          <w:rFonts w:hint="default"/>
        </w:rPr>
        <w:fldChar w:fldCharType="separate"/>
      </w:r>
      <w:r>
        <w:rPr>
          <w:rFonts w:hint="default" w:ascii="楷体_GB2312" w:hAnsi="楷体_GB2312" w:eastAsia="楷体_GB2312" w:cs="楷体_GB2312"/>
          <w:sz w:val="28"/>
          <w:szCs w:val="28"/>
        </w:rPr>
        <w:t>（一）完善保障体系，全面促进残疾人共同富裕</w:t>
      </w:r>
      <w:r>
        <w:rPr>
          <w:rFonts w:hint="default"/>
        </w:rPr>
        <w:fldChar w:fldCharType="end"/>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.....................................6</w:t>
      </w:r>
    </w:p>
    <w:p w14:paraId="2B264476">
      <w:pPr>
        <w:rPr>
          <w:rFonts w:hint="default"/>
        </w:rPr>
      </w:pPr>
      <w:r>
        <w:rPr>
          <w:rFonts w:hint="default"/>
        </w:rPr>
        <w:fldChar w:fldCharType="begin"/>
      </w:r>
      <w:r>
        <w:rPr>
          <w:rFonts w:hint="default"/>
        </w:rPr>
        <w:instrText xml:space="preserve"> HYPERLINK \l "_Toc21912" </w:instrText>
      </w:r>
      <w:r>
        <w:rPr>
          <w:rFonts w:hint="default"/>
        </w:rPr>
        <w:fldChar w:fldCharType="separate"/>
      </w:r>
      <w:r>
        <w:rPr>
          <w:rFonts w:hint="default" w:ascii="楷体_GB2312" w:hAnsi="楷体_GB2312" w:eastAsia="楷体_GB2312" w:cs="楷体_GB2312"/>
          <w:sz w:val="28"/>
          <w:szCs w:val="28"/>
        </w:rPr>
        <w:t>（二）扩大就业创业，提升残疾人生活水平</w:t>
      </w:r>
      <w:r>
        <w:rPr>
          <w:rFonts w:hint="default"/>
        </w:rPr>
        <w:tab/>
      </w:r>
      <w:r>
        <w:rPr>
          <w:rFonts w:hint="default"/>
        </w:rPr>
        <w:fldChar w:fldCharType="end"/>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...........................................8</w:t>
      </w:r>
    </w:p>
    <w:p w14:paraId="7DCCFE7D">
      <w:pPr>
        <w:rPr>
          <w:rFonts w:hint="default"/>
        </w:rPr>
      </w:pPr>
      <w:r>
        <w:rPr>
          <w:rFonts w:hint="default"/>
        </w:rPr>
        <w:fldChar w:fldCharType="begin"/>
      </w:r>
      <w:r>
        <w:rPr>
          <w:rFonts w:hint="default"/>
        </w:rPr>
        <w:instrText xml:space="preserve"> HYPERLINK \l "_Toc17210" </w:instrText>
      </w:r>
      <w:r>
        <w:rPr>
          <w:rFonts w:hint="default"/>
        </w:rPr>
        <w:fldChar w:fldCharType="separate"/>
      </w:r>
      <w:r>
        <w:rPr>
          <w:rFonts w:hint="default" w:ascii="楷体_GB2312" w:hAnsi="楷体_GB2312" w:eastAsia="楷体_GB2312" w:cs="楷体_GB2312"/>
          <w:sz w:val="28"/>
          <w:szCs w:val="28"/>
        </w:rPr>
        <w:t>（三）搞好精准化服务，提升残疾人康复水平</w:t>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.........................................9</w:t>
      </w:r>
      <w:r>
        <w:rPr>
          <w:rFonts w:hint="default"/>
        </w:rPr>
        <w:fldChar w:fldCharType="end"/>
      </w:r>
    </w:p>
    <w:p w14:paraId="7527B12B">
      <w:pPr>
        <w:rPr>
          <w:rFonts w:hint="default"/>
          <w:lang w:val="en-US"/>
        </w:rPr>
      </w:pPr>
      <w:r>
        <w:rPr>
          <w:rFonts w:hint="default"/>
        </w:rPr>
        <w:fldChar w:fldCharType="begin"/>
      </w:r>
      <w:r>
        <w:rPr>
          <w:rFonts w:hint="default"/>
        </w:rPr>
        <w:instrText xml:space="preserve"> HYPERLINK \l "_Toc21074" </w:instrText>
      </w:r>
      <w:r>
        <w:rPr>
          <w:rFonts w:hint="default"/>
        </w:rPr>
        <w:fldChar w:fldCharType="separate"/>
      </w:r>
      <w:r>
        <w:rPr>
          <w:rFonts w:hint="default" w:ascii="楷体_GB2312" w:hAnsi="楷体_GB2312" w:eastAsia="楷体_GB2312" w:cs="楷体_GB2312"/>
          <w:sz w:val="28"/>
          <w:szCs w:val="28"/>
        </w:rPr>
        <w:t>（四）点面结合，链式推进，营造良好的无障碍社会环境</w:t>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...................1</w:t>
      </w:r>
      <w:r>
        <w:rPr>
          <w:rFonts w:hint="default"/>
        </w:rPr>
        <w:fldChar w:fldCharType="end"/>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1</w:t>
      </w:r>
    </w:p>
    <w:p w14:paraId="682F5DE2">
      <w:pPr>
        <w:rPr>
          <w:rFonts w:hint="default"/>
          <w:lang w:val="en-US"/>
        </w:rPr>
      </w:pPr>
      <w:r>
        <w:rPr>
          <w:rFonts w:hint="default"/>
        </w:rPr>
        <w:fldChar w:fldCharType="begin"/>
      </w:r>
      <w:r>
        <w:rPr>
          <w:rFonts w:hint="default"/>
        </w:rPr>
        <w:instrText xml:space="preserve"> HYPERLINK \l "_Toc25415" </w:instrText>
      </w:r>
      <w:r>
        <w:rPr>
          <w:rFonts w:hint="default"/>
        </w:rPr>
        <w:fldChar w:fldCharType="separate"/>
      </w:r>
      <w:r>
        <w:rPr>
          <w:rFonts w:hint="default" w:ascii="楷体_GB2312" w:hAnsi="楷体_GB2312" w:eastAsia="楷体_GB2312" w:cs="楷体_GB2312"/>
          <w:sz w:val="28"/>
          <w:szCs w:val="28"/>
        </w:rPr>
        <w:t>（五）提升公共服务水平，努力实现共建共享</w:t>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.......................................1</w:t>
      </w:r>
      <w:r>
        <w:rPr>
          <w:rFonts w:hint="default"/>
        </w:rPr>
        <w:fldChar w:fldCharType="end"/>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2</w:t>
      </w:r>
    </w:p>
    <w:p w14:paraId="5645EFDC">
      <w:pPr>
        <w:rPr>
          <w:rFonts w:hint="default"/>
          <w:lang w:val="en-US"/>
        </w:rPr>
      </w:pPr>
      <w:r>
        <w:rPr>
          <w:rFonts w:hint="default"/>
        </w:rPr>
        <w:fldChar w:fldCharType="begin"/>
      </w:r>
      <w:r>
        <w:rPr>
          <w:rFonts w:hint="default"/>
        </w:rPr>
        <w:instrText xml:space="preserve"> HYPERLINK \l "_Toc25377" </w:instrText>
      </w:r>
      <w:r>
        <w:rPr>
          <w:rFonts w:hint="default"/>
        </w:rPr>
        <w:fldChar w:fldCharType="separate"/>
      </w:r>
      <w:r>
        <w:rPr>
          <w:rFonts w:hint="default" w:ascii="楷体_GB2312" w:hAnsi="楷体_GB2312" w:eastAsia="楷体_GB2312" w:cs="楷体_GB2312"/>
          <w:sz w:val="28"/>
          <w:szCs w:val="28"/>
        </w:rPr>
        <w:t>（六）强化组织体系建设，夯实工作基础</w:t>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...............................................1</w:t>
      </w:r>
      <w:r>
        <w:rPr>
          <w:rFonts w:hint="default"/>
        </w:rPr>
        <w:fldChar w:fldCharType="end"/>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3</w:t>
      </w:r>
    </w:p>
    <w:p w14:paraId="61813EDC">
      <w:pPr>
        <w:rPr>
          <w:rFonts w:hint="default"/>
          <w:lang w:val="en-US"/>
        </w:rPr>
      </w:pPr>
      <w:r>
        <w:rPr>
          <w:rFonts w:hint="default"/>
        </w:rPr>
        <w:fldChar w:fldCharType="begin"/>
      </w:r>
      <w:r>
        <w:rPr>
          <w:rFonts w:hint="default"/>
        </w:rPr>
        <w:instrText xml:space="preserve"> HYPERLINK \l "_Toc17171" </w:instrText>
      </w:r>
      <w:r>
        <w:rPr>
          <w:rFonts w:hint="default"/>
        </w:rPr>
        <w:fldChar w:fldCharType="separate"/>
      </w:r>
      <w:r>
        <w:rPr>
          <w:rFonts w:hint="default" w:ascii="楷体_GB2312" w:hAnsi="楷体_GB2312" w:eastAsia="楷体_GB2312" w:cs="楷体_GB2312"/>
          <w:sz w:val="28"/>
          <w:szCs w:val="28"/>
        </w:rPr>
        <w:t>（七）法</w:t>
      </w:r>
      <w:r>
        <w:rPr>
          <w:rFonts w:hint="eastAsia" w:ascii="楷体_GB2312" w:hAnsi="楷体_GB2312" w:eastAsia="楷体_GB2312" w:cs="楷体_GB2312"/>
          <w:sz w:val="28"/>
          <w:szCs w:val="28"/>
          <w:lang w:eastAsia="zh-CN"/>
        </w:rPr>
        <w:t>治</w:t>
      </w:r>
      <w:r>
        <w:rPr>
          <w:rFonts w:hint="default" w:ascii="楷体_GB2312" w:hAnsi="楷体_GB2312" w:eastAsia="楷体_GB2312" w:cs="楷体_GB2312"/>
          <w:sz w:val="28"/>
          <w:szCs w:val="28"/>
        </w:rPr>
        <w:t>为先，权利为本，畅通残疾人权益保护通道</w:t>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.......................1</w:t>
      </w:r>
      <w:r>
        <w:rPr>
          <w:rFonts w:hint="default"/>
        </w:rPr>
        <w:fldChar w:fldCharType="end"/>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4</w:t>
      </w:r>
    </w:p>
    <w:p w14:paraId="4226B6FA">
      <w:pPr>
        <w:rPr>
          <w:rFonts w:hint="default"/>
          <w:lang w:val="en-US"/>
        </w:rPr>
      </w:pPr>
      <w:r>
        <w:rPr>
          <w:rFonts w:hint="default"/>
        </w:rPr>
        <w:fldChar w:fldCharType="begin"/>
      </w:r>
      <w:r>
        <w:rPr>
          <w:rFonts w:hint="default"/>
        </w:rPr>
        <w:instrText xml:space="preserve"> HYPERLINK \l "_Toc23978" </w:instrText>
      </w:r>
      <w:r>
        <w:rPr>
          <w:rFonts w:hint="default"/>
        </w:rPr>
        <w:fldChar w:fldCharType="separate"/>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四、组织管理与规划实施...........................................................................1</w:t>
      </w:r>
      <w:r>
        <w:rPr>
          <w:rFonts w:hint="default"/>
        </w:rPr>
        <w:fldChar w:fldCharType="end"/>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5</w:t>
      </w:r>
    </w:p>
    <w:p w14:paraId="12B43413">
      <w:pPr>
        <w:rPr>
          <w:rFonts w:hint="default"/>
          <w:lang w:val="en-US"/>
        </w:rPr>
      </w:pPr>
      <w:r>
        <w:rPr>
          <w:rFonts w:hint="default"/>
        </w:rPr>
        <w:fldChar w:fldCharType="end"/>
      </w:r>
      <w:r>
        <w:rPr>
          <w:rFonts w:hint="default"/>
        </w:rPr>
        <w:fldChar w:fldCharType="begin"/>
      </w:r>
      <w:r>
        <w:rPr>
          <w:rFonts w:hint="default"/>
        </w:rPr>
        <w:instrText xml:space="preserve"> HYPERLINK \l "_Toc25415" </w:instrText>
      </w:r>
      <w:r>
        <w:rPr>
          <w:rFonts w:hint="default"/>
        </w:rPr>
        <w:fldChar w:fldCharType="separate"/>
      </w:r>
      <w:r>
        <w:rPr>
          <w:rFonts w:hint="default" w:ascii="楷体_GB2312" w:hAnsi="楷体_GB2312" w:eastAsia="楷体_GB2312" w:cs="楷体_GB2312"/>
          <w:sz w:val="28"/>
          <w:szCs w:val="28"/>
        </w:rPr>
        <w:t>（</w:t>
      </w:r>
      <w:r>
        <w:rPr>
          <w:rFonts w:hint="eastAsia" w:ascii="楷体_GB2312" w:hAnsi="楷体_GB2312" w:eastAsia="楷体_GB2312" w:cs="楷体_GB2312"/>
          <w:sz w:val="28"/>
          <w:szCs w:val="28"/>
          <w:lang w:eastAsia="zh-CN"/>
        </w:rPr>
        <w:t>一</w:t>
      </w:r>
      <w:r>
        <w:rPr>
          <w:rFonts w:hint="default" w:ascii="楷体_GB2312" w:hAnsi="楷体_GB2312" w:eastAsia="楷体_GB2312" w:cs="楷体_GB2312"/>
          <w:sz w:val="28"/>
          <w:szCs w:val="28"/>
        </w:rPr>
        <w:t>）</w:t>
      </w:r>
      <w:r>
        <w:rPr>
          <w:rFonts w:hint="default" w:ascii="Times New Roman" w:hAnsi="Times New Roman" w:eastAsia="楷体_GB2312" w:cs="Times New Roman"/>
          <w:bCs/>
          <w:color w:val="000000" w:themeColor="text1"/>
          <w:sz w:val="28"/>
          <w:szCs w:val="28"/>
          <w:highlight w:val="none"/>
          <w14:textFill>
            <w14:solidFill>
              <w14:schemeClr w14:val="tx1"/>
            </w14:solidFill>
          </w14:textFill>
        </w:rPr>
        <w:t>加强党的领导和组织管理</w:t>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...............................................................1</w:t>
      </w:r>
      <w:r>
        <w:rPr>
          <w:rFonts w:hint="default"/>
        </w:rPr>
        <w:fldChar w:fldCharType="end"/>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5</w:t>
      </w:r>
    </w:p>
    <w:p w14:paraId="41DAB903">
      <w:pPr>
        <w:rPr>
          <w:rFonts w:hint="default"/>
          <w:lang w:val="en-US"/>
        </w:rPr>
      </w:pPr>
      <w:r>
        <w:rPr>
          <w:rFonts w:hint="default"/>
        </w:rPr>
        <w:fldChar w:fldCharType="begin"/>
      </w:r>
      <w:r>
        <w:rPr>
          <w:rFonts w:hint="default"/>
        </w:rPr>
        <w:instrText xml:space="preserve"> HYPERLINK \l "_Toc25377" </w:instrText>
      </w:r>
      <w:r>
        <w:rPr>
          <w:rFonts w:hint="default"/>
        </w:rPr>
        <w:fldChar w:fldCharType="separate"/>
      </w:r>
      <w:r>
        <w:rPr>
          <w:rFonts w:hint="default" w:ascii="楷体_GB2312" w:hAnsi="楷体_GB2312" w:eastAsia="楷体_GB2312" w:cs="楷体_GB2312"/>
          <w:sz w:val="28"/>
          <w:szCs w:val="28"/>
        </w:rPr>
        <w:t>（</w:t>
      </w:r>
      <w:r>
        <w:rPr>
          <w:rFonts w:hint="eastAsia" w:ascii="楷体_GB2312" w:hAnsi="楷体_GB2312" w:eastAsia="楷体_GB2312" w:cs="楷体_GB2312"/>
          <w:sz w:val="28"/>
          <w:szCs w:val="28"/>
          <w:lang w:eastAsia="zh-CN"/>
        </w:rPr>
        <w:t>二</w:t>
      </w:r>
      <w:r>
        <w:rPr>
          <w:rFonts w:hint="default" w:ascii="楷体_GB2312" w:hAnsi="楷体_GB2312" w:eastAsia="楷体_GB2312" w:cs="楷体_GB2312"/>
          <w:sz w:val="28"/>
          <w:szCs w:val="28"/>
        </w:rPr>
        <w:t>）</w:t>
      </w:r>
      <w:r>
        <w:rPr>
          <w:rFonts w:hint="default" w:ascii="Times New Roman" w:hAnsi="Times New Roman" w:eastAsia="楷体_GB2312" w:cs="Times New Roman"/>
          <w:bCs/>
          <w:color w:val="000000" w:themeColor="text1"/>
          <w:sz w:val="28"/>
          <w:szCs w:val="28"/>
          <w:highlight w:val="none"/>
          <w14:textFill>
            <w14:solidFill>
              <w14:schemeClr w14:val="tx1"/>
            </w14:solidFill>
          </w14:textFill>
        </w:rPr>
        <w:t>加强宣传引导和</w:t>
      </w:r>
      <w:r>
        <w:rPr>
          <w:rFonts w:hint="default" w:ascii="Times New Roman" w:hAnsi="Times New Roman" w:eastAsia="楷体_GB2312" w:cs="Times New Roman"/>
          <w:bCs/>
          <w:color w:val="000000" w:themeColor="text1"/>
          <w:sz w:val="28"/>
          <w:szCs w:val="28"/>
          <w:highlight w:val="none"/>
          <w:lang w:val="en-US" w:eastAsia="zh-CN"/>
          <w14:textFill>
            <w14:solidFill>
              <w14:schemeClr w14:val="tx1"/>
            </w14:solidFill>
          </w14:textFill>
        </w:rPr>
        <w:t>工作</w:t>
      </w:r>
      <w:r>
        <w:rPr>
          <w:rFonts w:hint="default" w:ascii="Times New Roman" w:hAnsi="Times New Roman" w:eastAsia="楷体_GB2312" w:cs="Times New Roman"/>
          <w:bCs/>
          <w:color w:val="000000" w:themeColor="text1"/>
          <w:sz w:val="28"/>
          <w:szCs w:val="28"/>
          <w:highlight w:val="none"/>
          <w14:textFill>
            <w14:solidFill>
              <w14:schemeClr w14:val="tx1"/>
            </w14:solidFill>
          </w14:textFill>
        </w:rPr>
        <w:t>创新</w:t>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...............................................................1</w:t>
      </w:r>
      <w:r>
        <w:rPr>
          <w:rFonts w:hint="default"/>
        </w:rPr>
        <w:fldChar w:fldCharType="end"/>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5</w:t>
      </w:r>
    </w:p>
    <w:p w14:paraId="58B79D95">
      <w:pPr>
        <w:rPr>
          <w:rFonts w:hint="default"/>
          <w:lang w:val="en-US"/>
        </w:rPr>
      </w:pPr>
      <w:r>
        <w:rPr>
          <w:rFonts w:hint="default"/>
        </w:rPr>
        <w:fldChar w:fldCharType="begin"/>
      </w:r>
      <w:r>
        <w:rPr>
          <w:rFonts w:hint="default"/>
        </w:rPr>
        <w:instrText xml:space="preserve"> HYPERLINK \l "_Toc17171" </w:instrText>
      </w:r>
      <w:r>
        <w:rPr>
          <w:rFonts w:hint="default"/>
        </w:rPr>
        <w:fldChar w:fldCharType="separate"/>
      </w:r>
      <w:r>
        <w:rPr>
          <w:rFonts w:hint="default" w:ascii="楷体_GB2312" w:hAnsi="楷体_GB2312" w:eastAsia="楷体_GB2312" w:cs="楷体_GB2312"/>
          <w:sz w:val="28"/>
          <w:szCs w:val="28"/>
        </w:rPr>
        <w:t>（</w:t>
      </w:r>
      <w:r>
        <w:rPr>
          <w:rFonts w:hint="eastAsia" w:ascii="楷体_GB2312" w:hAnsi="楷体_GB2312" w:eastAsia="楷体_GB2312" w:cs="楷体_GB2312"/>
          <w:sz w:val="28"/>
          <w:szCs w:val="28"/>
          <w:lang w:eastAsia="zh-CN"/>
        </w:rPr>
        <w:t>三</w:t>
      </w:r>
      <w:r>
        <w:rPr>
          <w:rFonts w:hint="default" w:ascii="楷体_GB2312" w:hAnsi="楷体_GB2312" w:eastAsia="楷体_GB2312" w:cs="楷体_GB2312"/>
          <w:sz w:val="28"/>
          <w:szCs w:val="28"/>
        </w:rPr>
        <w:t>）</w:t>
      </w:r>
      <w:r>
        <w:rPr>
          <w:rFonts w:hint="default" w:ascii="Times New Roman" w:hAnsi="Times New Roman" w:eastAsia="楷体_GB2312" w:cs="Times New Roman"/>
          <w:bCs/>
          <w:color w:val="000000" w:themeColor="text1"/>
          <w:sz w:val="28"/>
          <w:szCs w:val="28"/>
          <w:highlight w:val="none"/>
          <w14:textFill>
            <w14:solidFill>
              <w14:schemeClr w14:val="tx1"/>
            </w14:solidFill>
          </w14:textFill>
        </w:rPr>
        <w:t>加强政策支撑和经费保障</w:t>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...............................................................1</w:t>
      </w:r>
      <w:r>
        <w:rPr>
          <w:rFonts w:hint="default"/>
        </w:rPr>
        <w:fldChar w:fldCharType="end"/>
      </w:r>
      <w:r>
        <w:rPr>
          <w:rFonts w:hint="default" w:ascii="Times New Roman" w:hAnsi="Times New Roman" w:eastAsia="黑体" w:cs="Times New Roman"/>
          <w:color w:val="000000" w:themeColor="text1"/>
          <w:kern w:val="0"/>
          <w:sz w:val="28"/>
          <w:szCs w:val="28"/>
          <w:highlight w:val="none"/>
          <w:lang w:val="en-US" w:eastAsia="zh-CN" w:bidi="mn-Mong-CN"/>
          <w14:textFill>
            <w14:solidFill>
              <w14:schemeClr w14:val="tx1"/>
            </w14:solidFill>
          </w14:textFill>
        </w:rPr>
        <w:t>5</w:t>
      </w:r>
    </w:p>
    <w:p w14:paraId="128E226E">
      <w:pPr>
        <w:keepNext w:val="0"/>
        <w:keepLines w:val="0"/>
        <w:pageBreakBefore w:val="0"/>
        <w:kinsoku/>
        <w:overflowPunct/>
        <w:topLinePunct w:val="0"/>
        <w:autoSpaceDE/>
        <w:autoSpaceDN/>
        <w:bidi w:val="0"/>
        <w:adjustRightInd/>
        <w:spacing w:line="540" w:lineRule="exact"/>
        <w:jc w:val="both"/>
        <w:textAlignment w:val="auto"/>
        <w:outlineLvl w:val="0"/>
        <w:rPr>
          <w:rFonts w:hint="default" w:ascii="Times New Roman" w:hAnsi="Times New Roman" w:eastAsia="方正小标宋简体" w:cs="Times New Roman"/>
          <w:bCs/>
          <w:color w:val="000000" w:themeColor="text1"/>
          <w:sz w:val="44"/>
          <w:szCs w:val="44"/>
          <w:highlight w:val="none"/>
          <w14:textFill>
            <w14:solidFill>
              <w14:schemeClr w14:val="tx1"/>
            </w14:solidFill>
          </w14:textFill>
        </w:rPr>
        <w:sectPr>
          <w:footerReference r:id="rId4" w:type="default"/>
          <w:pgSz w:w="11906" w:h="16838"/>
          <w:pgMar w:top="1984" w:right="1587" w:bottom="1701" w:left="1587" w:header="851" w:footer="1417" w:gutter="0"/>
          <w:pgNumType w:fmt="numberInDash" w:start="1"/>
          <w:cols w:space="720" w:num="1"/>
          <w:docGrid w:type="lines" w:linePitch="312" w:charSpace="0"/>
        </w:sectPr>
      </w:pPr>
    </w:p>
    <w:p w14:paraId="4E1DC1F8">
      <w:pPr>
        <w:keepNext w:val="0"/>
        <w:keepLines w:val="0"/>
        <w:pageBreakBefore w:val="0"/>
        <w:kinsoku/>
        <w:overflowPunct/>
        <w:topLinePunct w:val="0"/>
        <w:autoSpaceDE/>
        <w:autoSpaceDN/>
        <w:bidi w:val="0"/>
        <w:adjustRightInd/>
        <w:spacing w:line="560" w:lineRule="exact"/>
        <w:jc w:val="center"/>
        <w:textAlignment w:val="auto"/>
        <w:outlineLvl w:val="0"/>
        <w:rPr>
          <w:rFonts w:hint="default" w:ascii="Times New Roman" w:hAnsi="Times New Roman" w:eastAsia="方正小标宋简体" w:cs="Times New Roman"/>
          <w:bCs/>
          <w:color w:val="000000" w:themeColor="text1"/>
          <w:sz w:val="44"/>
          <w:szCs w:val="44"/>
          <w:highlight w:val="none"/>
          <w14:textFill>
            <w14:solidFill>
              <w14:schemeClr w14:val="tx1"/>
            </w14:solidFill>
          </w14:textFill>
        </w:rPr>
      </w:pPr>
      <w:r>
        <w:rPr>
          <w:rFonts w:hint="default" w:ascii="Times New Roman" w:hAnsi="Times New Roman" w:eastAsia="方正小标宋简体" w:cs="Times New Roman"/>
          <w:bCs/>
          <w:color w:val="000000" w:themeColor="text1"/>
          <w:sz w:val="44"/>
          <w:szCs w:val="44"/>
          <w:highlight w:val="none"/>
          <w:lang w:eastAsia="zh-CN"/>
          <w14:textFill>
            <w14:solidFill>
              <w14:schemeClr w14:val="tx1"/>
            </w14:solidFill>
          </w14:textFill>
        </w:rPr>
        <w:t>巴林左旗</w:t>
      </w:r>
      <w:r>
        <w:rPr>
          <w:rFonts w:hint="eastAsia" w:ascii="Times New Roman" w:hAnsi="Times New Roman" w:eastAsia="方正小标宋简体" w:cs="Times New Roman"/>
          <w:bCs/>
          <w:color w:val="000000" w:themeColor="text1"/>
          <w:sz w:val="44"/>
          <w:szCs w:val="44"/>
          <w:highlight w:val="none"/>
          <w:lang w:eastAsia="zh-CN"/>
          <w14:textFill>
            <w14:solidFill>
              <w14:schemeClr w14:val="tx1"/>
            </w14:solidFill>
          </w14:textFill>
        </w:rPr>
        <w:t>“</w:t>
      </w:r>
      <w:r>
        <w:rPr>
          <w:rFonts w:hint="default" w:ascii="Times New Roman" w:hAnsi="Times New Roman" w:eastAsia="方正小标宋简体" w:cs="Times New Roman"/>
          <w:bCs/>
          <w:color w:val="000000" w:themeColor="text1"/>
          <w:sz w:val="44"/>
          <w:szCs w:val="44"/>
          <w:highlight w:val="none"/>
          <w14:textFill>
            <w14:solidFill>
              <w14:schemeClr w14:val="tx1"/>
            </w14:solidFill>
          </w14:textFill>
        </w:rPr>
        <w:t>十四五</w:t>
      </w:r>
      <w:r>
        <w:rPr>
          <w:rFonts w:hint="eastAsia" w:ascii="Times New Roman" w:hAnsi="Times New Roman" w:eastAsia="方正小标宋简体" w:cs="Times New Roman"/>
          <w:bCs/>
          <w:color w:val="000000" w:themeColor="text1"/>
          <w:sz w:val="44"/>
          <w:szCs w:val="44"/>
          <w:highlight w:val="none"/>
          <w:lang w:eastAsia="zh-CN"/>
          <w14:textFill>
            <w14:solidFill>
              <w14:schemeClr w14:val="tx1"/>
            </w14:solidFill>
          </w14:textFill>
        </w:rPr>
        <w:t>”</w:t>
      </w:r>
      <w:r>
        <w:rPr>
          <w:rFonts w:hint="default" w:ascii="Times New Roman" w:hAnsi="Times New Roman" w:eastAsia="方正小标宋简体" w:cs="Times New Roman"/>
          <w:bCs/>
          <w:color w:val="000000" w:themeColor="text1"/>
          <w:sz w:val="44"/>
          <w:szCs w:val="44"/>
          <w:highlight w:val="none"/>
          <w14:textFill>
            <w14:solidFill>
              <w14:schemeClr w14:val="tx1"/>
            </w14:solidFill>
          </w14:textFill>
        </w:rPr>
        <w:t>残疾人事业发展规划</w:t>
      </w:r>
      <w:bookmarkEnd w:id="0"/>
    </w:p>
    <w:p w14:paraId="4EE49A23">
      <w:pPr>
        <w:keepNext w:val="0"/>
        <w:keepLines w:val="0"/>
        <w:pageBreakBefore w:val="0"/>
        <w:kinsoku/>
        <w:overflowPunct/>
        <w:topLinePunct w:val="0"/>
        <w:autoSpaceDE/>
        <w:autoSpaceDN/>
        <w:bidi w:val="0"/>
        <w:adjustRightInd/>
        <w:spacing w:line="560" w:lineRule="exact"/>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p>
    <w:p w14:paraId="7B407104">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为进一步保障和改善全</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旗</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残疾人民生，加快推进残疾人事业高质量发展，根据《中华人民共和国残疾人保障法》《</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“十四五”残疾人保障和发展规划</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》《内蒙古自治区</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十四五</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残疾人事业发展规划》《</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赤峰市</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十四五</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残疾人事业发展规划》</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等文件要求</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，结合左旗实际</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，制定本规划。</w:t>
      </w:r>
    </w:p>
    <w:p w14:paraId="397DA73D">
      <w:pPr>
        <w:keepNext w:val="0"/>
        <w:keepLines w:val="0"/>
        <w:pageBreakBefore w:val="0"/>
        <w:kinsoku/>
        <w:overflowPunct/>
        <w:topLinePunct w:val="0"/>
        <w:autoSpaceDE/>
        <w:autoSpaceDN/>
        <w:bidi w:val="0"/>
        <w:adjustRightInd/>
        <w:spacing w:line="560" w:lineRule="exact"/>
        <w:ind w:firstLine="640" w:firstLineChars="200"/>
        <w:jc w:val="both"/>
        <w:textAlignment w:val="auto"/>
        <w:outlineLvl w:val="0"/>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pPr>
      <w:r>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t>一、编制背景</w:t>
      </w:r>
    </w:p>
    <w:p w14:paraId="32B6BE4D">
      <w:pPr>
        <w:pStyle w:val="2"/>
        <w:keepNext w:val="0"/>
        <w:keepLines w:val="0"/>
        <w:pageBreakBefore w:val="0"/>
        <w:kinsoku/>
        <w:overflowPunct/>
        <w:topLinePunct w:val="0"/>
        <w:autoSpaceDE/>
        <w:autoSpaceDN/>
        <w:bidi w:val="0"/>
        <w:adjustRightInd/>
        <w:spacing w:line="560" w:lineRule="exact"/>
        <w:ind w:firstLine="63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十三五</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期间，全旗围绕贯彻落实习近平总书记</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对残疾人要格外关心、格外关注</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的重要指示精神和国家、自治区</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与</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市委、旗委的决策部署，着力改善残疾人民生，全面推进残疾人事业发展，</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全面建成小康社会，残疾人一个也不能少</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的目标如期实现，残疾人的获得感、幸福感和安全感显著增强。</w:t>
      </w:r>
    </w:p>
    <w:p w14:paraId="3D6DC318">
      <w:pPr>
        <w:pStyle w:val="2"/>
        <w:keepNext w:val="0"/>
        <w:keepLines w:val="0"/>
        <w:pageBreakBefore w:val="0"/>
        <w:kinsoku/>
        <w:overflowPunct/>
        <w:topLinePunct w:val="0"/>
        <w:autoSpaceDE/>
        <w:autoSpaceDN/>
        <w:bidi w:val="0"/>
        <w:adjustRightInd/>
        <w:spacing w:line="560" w:lineRule="exact"/>
        <w:ind w:firstLine="63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全旗</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1170户</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农村建档立卡贫困残疾人实现脱贫，</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6219名</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残疾人享受最低生活保障和困难残疾人生活补贴，</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5476名</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残疾人享受重度残疾人护理补贴。通过实施</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阳光家园</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托养服务计划为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243名</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残疾人提供托养服务。残疾人意外伤害保险实现全覆盖。全旗城乡残疾人稳定就业达</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2600</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人以上。残疾人辅助器具适配服务人数达到</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1962</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人次，辅助器具适配服务率达到9</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%。残疾儿童少年接受义务教育的比例达到97%。农村贫困残疾人家庭存量危房实现全部改造。</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404</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户城乡困难重度残疾人家庭得到无障碍改造，城乡公共无障碍环境明显改善，扶残助残长效机制逐步完善，关爱帮扶残疾人的社会氛围更加浓厚。旗委、政府高度重视残疾人事业发展，全面加强党对残疾人事业的领导，切实让残疾人感受到了党和政府的温暖。与此同时，残疾人事业发展仍面临不少困难和问题：残疾人中还有部分脱贫不稳定、边缘易致贫等情形，返贫致贫风险较高，相当数量的低收入残疾人家庭生活还比较困难；残疾人就业不充分、不稳定，残疾人家庭人均收入与社会平均水平相比还有差距；残疾人公共服务总量不足、分布不均衡、质量效益还不高，已建成机构运行保障机制还不健全，残疾人就学就医、康复照护、无障碍等多样化需求还未得到充分满足；</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残疾人平等权利还没有得到充分实现；</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残疾人事业仍然是经济社会发展的短板，苏木乡镇街道为残疾人服务的能力还比较薄弱。</w:t>
      </w:r>
    </w:p>
    <w:p w14:paraId="4D65C86F">
      <w:pPr>
        <w:keepNext w:val="0"/>
        <w:keepLines w:val="0"/>
        <w:pageBreakBefore w:val="0"/>
        <w:kinsoku/>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十四五</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时期是</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我旗</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残疾人事业发展的重要机遇期，要持续巩固残疾人脱贫攻坚成果，进一步增强残疾人兜底保障能力，团结带领广大残疾人铸牢中华民族共同体意识，守望相助、团结奋斗，共建共享更加幸福美好的生活。</w:t>
      </w:r>
    </w:p>
    <w:p w14:paraId="5C31527A">
      <w:pPr>
        <w:keepNext w:val="0"/>
        <w:keepLines w:val="0"/>
        <w:pageBreakBefore w:val="0"/>
        <w:kinsoku/>
        <w:overflowPunct/>
        <w:topLinePunct w:val="0"/>
        <w:autoSpaceDE/>
        <w:autoSpaceDN/>
        <w:bidi w:val="0"/>
        <w:adjustRightInd/>
        <w:spacing w:line="560" w:lineRule="exact"/>
        <w:ind w:firstLine="640" w:firstLineChars="200"/>
        <w:jc w:val="both"/>
        <w:textAlignment w:val="auto"/>
        <w:outlineLvl w:val="0"/>
        <w:rPr>
          <w:rFonts w:hint="default" w:ascii="Times New Roman" w:hAnsi="Times New Roman" w:eastAsia="黑体" w:cs="Times New Roman"/>
          <w:b w:val="0"/>
          <w:bCs/>
          <w:color w:val="000000" w:themeColor="text1"/>
          <w:sz w:val="32"/>
          <w:szCs w:val="32"/>
          <w:highlight w:val="none"/>
          <w14:textFill>
            <w14:solidFill>
              <w14:schemeClr w14:val="tx1"/>
            </w14:solidFill>
          </w14:textFill>
        </w:rPr>
      </w:pPr>
      <w:bookmarkStart w:id="1" w:name="_Toc2869"/>
      <w:r>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t>二</w:t>
      </w:r>
      <w:r>
        <w:rPr>
          <w:rFonts w:hint="default" w:ascii="Times New Roman" w:hAnsi="Times New Roman" w:eastAsia="黑体" w:cs="Times New Roman"/>
          <w:b w:val="0"/>
          <w:bCs/>
          <w:color w:val="000000" w:themeColor="text1"/>
          <w:sz w:val="32"/>
          <w:szCs w:val="32"/>
          <w:highlight w:val="none"/>
          <w14:textFill>
            <w14:solidFill>
              <w14:schemeClr w14:val="tx1"/>
            </w14:solidFill>
          </w14:textFill>
        </w:rPr>
        <w:t>、总体思路与奋斗目标</w:t>
      </w:r>
      <w:bookmarkEnd w:id="1"/>
    </w:p>
    <w:p w14:paraId="6D907BB0">
      <w:pPr>
        <w:keepNext w:val="0"/>
        <w:keepLines w:val="0"/>
        <w:pageBreakBefore w:val="0"/>
        <w:kinsoku/>
        <w:overflowPunct/>
        <w:topLinePunct w:val="0"/>
        <w:autoSpaceDE/>
        <w:autoSpaceDN/>
        <w:bidi w:val="0"/>
        <w:adjustRightInd/>
        <w:spacing w:line="560" w:lineRule="exact"/>
        <w:ind w:firstLine="640" w:firstLineChars="200"/>
        <w:jc w:val="both"/>
        <w:textAlignment w:val="auto"/>
        <w:outlineLvl w:val="1"/>
        <w:rPr>
          <w:rFonts w:hint="default" w:ascii="Times New Roman" w:hAnsi="Times New Roman" w:eastAsia="仿宋_GB2312" w:cs="Times New Roman"/>
          <w:b w:val="0"/>
          <w:bCs w:val="0"/>
          <w:color w:val="000000" w:themeColor="text1"/>
          <w:sz w:val="32"/>
          <w:szCs w:val="32"/>
          <w:highlight w:val="none"/>
          <w14:textFill>
            <w14:solidFill>
              <w14:schemeClr w14:val="tx1"/>
            </w14:solidFill>
          </w14:textFill>
        </w:rPr>
      </w:pPr>
      <w:bookmarkStart w:id="2" w:name="_Toc26235"/>
      <w:r>
        <w:rPr>
          <w:rFonts w:hint="default" w:ascii="Times New Roman" w:hAnsi="Times New Roman" w:eastAsia="楷体_GB2312" w:cs="Times New Roman"/>
          <w:b w:val="0"/>
          <w:bCs w:val="0"/>
          <w:color w:val="000000" w:themeColor="text1"/>
          <w:sz w:val="32"/>
          <w:szCs w:val="32"/>
          <w:highlight w:val="none"/>
          <w14:textFill>
            <w14:solidFill>
              <w14:schemeClr w14:val="tx1"/>
            </w14:solidFill>
          </w14:textFill>
        </w:rPr>
        <w:t>（一）指导思想</w:t>
      </w:r>
      <w:bookmarkEnd w:id="2"/>
    </w:p>
    <w:p w14:paraId="7AEBEFF4">
      <w:pPr>
        <w:pStyle w:val="2"/>
        <w:keepNext w:val="0"/>
        <w:keepLines w:val="0"/>
        <w:pageBreakBefore w:val="0"/>
        <w:kinsoku/>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以习近平新时代中国特色社会主义思想为指导，全面贯彻党的十九大和十九届历次全会精神，认真落实习近平总书记关于残疾人事业和内蒙古工作的重要指示精神，坚持以人民为中心，完整、准确、全面贯彻新发展理念，加快构建新发展格局，以推动残疾人事业高质量发展为主题，以巩固拓展残疾人脱贫攻坚成果、促进残疾人全面发展和共同富裕</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为主线，</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按照</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赤峰市</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五个发展定位</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的要求，坚持补齐短板与提高质量相结合、兜底保障与积极赋能相结合、关注需求与优化供给相结合、巩固成果与创新机制相结合、政府主导与社会共建相结合，增进残疾人民生福祉，增强残疾人自我发展能力，促进全</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旗</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残疾人事业与经济社会协调发展，推动残疾人事业向着现代化迈进，不断满足残疾人美好生活需要和向往。</w:t>
      </w:r>
    </w:p>
    <w:p w14:paraId="22DDD9FD">
      <w:pPr>
        <w:keepNext w:val="0"/>
        <w:keepLines w:val="0"/>
        <w:pageBreakBefore w:val="0"/>
        <w:kinsoku/>
        <w:overflowPunct/>
        <w:topLinePunct w:val="0"/>
        <w:autoSpaceDE/>
        <w:autoSpaceDN/>
        <w:bidi w:val="0"/>
        <w:adjustRightIn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sz w:val="32"/>
          <w:szCs w:val="32"/>
          <w:highlight w:val="none"/>
          <w14:textFill>
            <w14:solidFill>
              <w14:schemeClr w14:val="tx1"/>
            </w14:solidFill>
          </w14:textFill>
        </w:rPr>
      </w:pPr>
      <w:bookmarkStart w:id="3" w:name="_Toc24426"/>
      <w:r>
        <w:rPr>
          <w:rFonts w:hint="default" w:ascii="Times New Roman" w:hAnsi="Times New Roman" w:eastAsia="楷体_GB2312" w:cs="Times New Roman"/>
          <w:b w:val="0"/>
          <w:bCs w:val="0"/>
          <w:color w:val="000000" w:themeColor="text1"/>
          <w:sz w:val="32"/>
          <w:szCs w:val="32"/>
          <w:highlight w:val="none"/>
          <w14:textFill>
            <w14:solidFill>
              <w14:schemeClr w14:val="tx1"/>
            </w14:solidFill>
          </w14:textFill>
        </w:rPr>
        <w:t>（二）基本原则</w:t>
      </w:r>
      <w:bookmarkEnd w:id="3"/>
    </w:p>
    <w:p w14:paraId="3D6380A7">
      <w:pPr>
        <w:keepNext w:val="0"/>
        <w:keepLines w:val="0"/>
        <w:pageBreakBefore w:val="0"/>
        <w:kinsoku/>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——坚持党的领导。强化党委领导、政府负责的残疾人工作领导体制，把党的领导贯穿残疾人工作的各个方面，增强</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四个意识</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坚定</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四个自信</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做到</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两个维护</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，为残疾人事业发展提供坚强的政治和组织保障，团结带领广大残疾人更加坚定</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地</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听党话、跟党走。</w:t>
      </w:r>
    </w:p>
    <w:p w14:paraId="154D6B1E">
      <w:pPr>
        <w:keepNext w:val="0"/>
        <w:keepLines w:val="0"/>
        <w:pageBreakBefore w:val="0"/>
        <w:kinsoku/>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——坚持以民为本。坚持对残疾人格外关心、格外关注，不断改善残疾人生活质量，增进残疾人福祉，促进残疾人共享社会发展成果</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弘扬人道主义精神和自强不息精神，激发残疾人的积极性、主动性、创造性，提升残疾人的获得感、幸福感和安全感。</w:t>
      </w:r>
    </w:p>
    <w:p w14:paraId="5A729BD9">
      <w:pPr>
        <w:keepNext w:val="0"/>
        <w:keepLines w:val="0"/>
        <w:pageBreakBefore w:val="0"/>
        <w:kinsoku/>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——坚持统筹兼顾。加大对</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苏木乡镇街道</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残疾人工作的政策、资金、项目扶持力度，促进城乡残疾人事业协调发展、残疾人事业与经济社会协调发展。着力推动城乡统筹、残健融合，实现基本公共服务均等化、社会福利普惠化、社会救助特惠化。</w:t>
      </w:r>
    </w:p>
    <w:p w14:paraId="36799185">
      <w:pPr>
        <w:keepNext w:val="0"/>
        <w:keepLines w:val="0"/>
        <w:pageBreakBefore w:val="0"/>
        <w:kinsoku/>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坚持保基兜底。围绕堵漏洞、补短板、强弱项、固根基，着力完善残疾人社会保障和服务体系建设，加大残疾人兜底保障力度，创新残疾人服务提供方式，织密筑牢残疾人生活保障安全网，使残疾人事业基本制度更加成熟完善。</w:t>
      </w:r>
    </w:p>
    <w:p w14:paraId="72E69433">
      <w:pPr>
        <w:keepNext w:val="0"/>
        <w:keepLines w:val="0"/>
        <w:pageBreakBefore w:val="0"/>
        <w:kinsoku/>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——坚持打造特色。围绕残疾人最关心、最直接、最现实的利益问题，结合</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巴林左旗</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实际，注重体制机制创新和载体创新，打造残疾人事业特色品牌。</w:t>
      </w:r>
    </w:p>
    <w:p w14:paraId="386CACFD">
      <w:pPr>
        <w:keepNext w:val="0"/>
        <w:keepLines w:val="0"/>
        <w:pageBreakBefore w:val="0"/>
        <w:kinsoku/>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坚持依法推进。继续落实残疾人工作政策法规、制度，促进残疾人工作有法可依、有章可循，提升为残疾人服务的能力，把维护残疾人合法权益、保障残疾人平等充分参与社会生活作为残疾人工作的出发点和落脚点。</w:t>
      </w:r>
    </w:p>
    <w:p w14:paraId="79D1F4DC">
      <w:pPr>
        <w:keepNext w:val="0"/>
        <w:keepLines w:val="0"/>
        <w:pageBreakBefore w:val="0"/>
        <w:kinsoku/>
        <w:overflowPunct/>
        <w:topLinePunct w:val="0"/>
        <w:autoSpaceDE/>
        <w:autoSpaceDN/>
        <w:bidi w:val="0"/>
        <w:adjustRightIn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sz w:val="32"/>
          <w:szCs w:val="32"/>
          <w:highlight w:val="none"/>
          <w14:textFill>
            <w14:solidFill>
              <w14:schemeClr w14:val="tx1"/>
            </w14:solidFill>
          </w14:textFill>
        </w:rPr>
      </w:pPr>
      <w:bookmarkStart w:id="4" w:name="_Toc3589"/>
      <w:r>
        <w:rPr>
          <w:rFonts w:hint="default" w:ascii="Times New Roman" w:hAnsi="Times New Roman" w:eastAsia="楷体_GB2312" w:cs="Times New Roman"/>
          <w:b w:val="0"/>
          <w:bCs w:val="0"/>
          <w:color w:val="000000" w:themeColor="text1"/>
          <w:sz w:val="32"/>
          <w:szCs w:val="32"/>
          <w:highlight w:val="none"/>
          <w14:textFill>
            <w14:solidFill>
              <w14:schemeClr w14:val="tx1"/>
            </w14:solidFill>
          </w14:textFill>
        </w:rPr>
        <w:t>（三）发展目标</w:t>
      </w:r>
      <w:bookmarkEnd w:id="4"/>
    </w:p>
    <w:p w14:paraId="6F519703">
      <w:pPr>
        <w:pStyle w:val="2"/>
        <w:keepNext w:val="0"/>
        <w:keepLines w:val="0"/>
        <w:pageBreakBefore w:val="0"/>
        <w:kinsoku/>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到2025年，残疾人收入与全</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旗</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平均水平差距进一步缩小，生活品质得到新改善，民生福祉达到新水平，助残氛围更加浓厚，残疾人保障能力和水平</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进一步提升</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p>
    <w:p w14:paraId="176FD110">
      <w:pPr>
        <w:pStyle w:val="2"/>
        <w:keepNext w:val="0"/>
        <w:keepLines w:val="0"/>
        <w:pageBreakBefore w:val="0"/>
        <w:kinsoku/>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——具有</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巴林左旗</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特色、保障得力、服务高效、残健融合的残疾人事业发展体系更加完善。</w:t>
      </w:r>
    </w:p>
    <w:p w14:paraId="5B0DCE71">
      <w:pPr>
        <w:pStyle w:val="2"/>
        <w:keepNext w:val="0"/>
        <w:keepLines w:val="0"/>
        <w:pageBreakBefore w:val="0"/>
        <w:kinsoku/>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普惠+特惠</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的残疾人基本民生得到稳定保障，困难残疾人生活补贴和重度残疾人护理补贴制度全面落实，残疾人全部按规定纳入基本养老保险和基本医疗保险，残疾人社会保障得到再强化。</w:t>
      </w:r>
    </w:p>
    <w:p w14:paraId="271F7984">
      <w:pPr>
        <w:pStyle w:val="2"/>
        <w:keepNext w:val="0"/>
        <w:keepLines w:val="0"/>
        <w:pageBreakBefore w:val="0"/>
        <w:kinsoku/>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——有就业能力和意愿的青壮年残疾人就业率进一步提高，残疾人收入增长与经济增长基本同步，残疾人就业实现再扩大。</w:t>
      </w:r>
    </w:p>
    <w:p w14:paraId="5B65D57D">
      <w:pPr>
        <w:pStyle w:val="2"/>
        <w:keepNext w:val="0"/>
        <w:keepLines w:val="0"/>
        <w:pageBreakBefore w:val="0"/>
        <w:kinsoku/>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——残疾人服务机构建设进一步规范，残疾人服务需求基本得到满足，精神文化生活更加丰富，无障碍环境建设全面推进，康复和托养覆盖面继续扩大，公共服务能力实现再提升。</w:t>
      </w:r>
    </w:p>
    <w:p w14:paraId="0B536814">
      <w:pPr>
        <w:pStyle w:val="2"/>
        <w:keepNext w:val="0"/>
        <w:keepLines w:val="0"/>
        <w:pageBreakBefore w:val="0"/>
        <w:kinsoku/>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——残疾学生义务教育阶段实现全免费，保障各类残疾儿童、青少年受教育的权利和机会，努力实现</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零拒绝、全覆盖，零辍学、高质量</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，残疾人教育水平实现再</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提高</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p>
    <w:tbl>
      <w:tblPr>
        <w:tblStyle w:val="11"/>
        <w:tblpPr w:leftFromText="180" w:rightFromText="180" w:vertAnchor="text" w:horzAnchor="page" w:tblpXSpec="center" w:tblpY="2477"/>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62"/>
        <w:gridCol w:w="1255"/>
        <w:gridCol w:w="1605"/>
      </w:tblGrid>
      <w:tr w14:paraId="6C592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3"/>
            <w:tcBorders>
              <w:top w:val="single" w:color="auto" w:sz="4" w:space="0"/>
              <w:left w:val="single" w:color="auto" w:sz="4" w:space="0"/>
              <w:bottom w:val="single" w:color="auto" w:sz="4" w:space="0"/>
              <w:right w:val="single" w:color="auto" w:sz="4" w:space="0"/>
            </w:tcBorders>
          </w:tcPr>
          <w:p w14:paraId="55488A78">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b/>
                <w:color w:val="auto"/>
                <w:sz w:val="24"/>
                <w:szCs w:val="24"/>
                <w:highlight w:val="none"/>
              </w:rPr>
            </w:pPr>
            <w:r>
              <w:rPr>
                <w:rFonts w:hint="eastAsia" w:ascii="Times New Roman" w:hAnsi="Times New Roman" w:eastAsia="仿宋" w:cs="Times New Roman"/>
                <w:b/>
                <w:color w:val="auto"/>
                <w:sz w:val="30"/>
                <w:szCs w:val="30"/>
                <w:highlight w:val="none"/>
                <w:lang w:eastAsia="zh-CN"/>
              </w:rPr>
              <w:t>“</w:t>
            </w:r>
            <w:r>
              <w:rPr>
                <w:rFonts w:hint="default" w:ascii="Times New Roman" w:hAnsi="Times New Roman" w:eastAsia="仿宋" w:cs="Times New Roman"/>
                <w:b/>
                <w:color w:val="auto"/>
                <w:sz w:val="30"/>
                <w:szCs w:val="30"/>
                <w:highlight w:val="none"/>
              </w:rPr>
              <w:t>十四五</w:t>
            </w:r>
            <w:r>
              <w:rPr>
                <w:rFonts w:hint="eastAsia" w:ascii="Times New Roman" w:hAnsi="Times New Roman" w:eastAsia="仿宋" w:cs="Times New Roman"/>
                <w:b/>
                <w:color w:val="auto"/>
                <w:sz w:val="30"/>
                <w:szCs w:val="30"/>
                <w:highlight w:val="none"/>
                <w:lang w:eastAsia="zh-CN"/>
              </w:rPr>
              <w:t>”</w:t>
            </w:r>
            <w:r>
              <w:rPr>
                <w:rFonts w:hint="default" w:ascii="Times New Roman" w:hAnsi="Times New Roman" w:eastAsia="仿宋" w:cs="Times New Roman"/>
                <w:b/>
                <w:color w:val="auto"/>
                <w:sz w:val="30"/>
                <w:szCs w:val="30"/>
                <w:highlight w:val="none"/>
              </w:rPr>
              <w:t>时期残疾人事业发展主要指标</w:t>
            </w:r>
          </w:p>
        </w:tc>
      </w:tr>
      <w:tr w14:paraId="1AB91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2" w:type="dxa"/>
            <w:tcBorders>
              <w:top w:val="single" w:color="auto" w:sz="4" w:space="0"/>
              <w:left w:val="single" w:color="auto" w:sz="4" w:space="0"/>
              <w:bottom w:val="single" w:color="auto" w:sz="4" w:space="0"/>
              <w:right w:val="single" w:color="auto" w:sz="4" w:space="0"/>
            </w:tcBorders>
          </w:tcPr>
          <w:p w14:paraId="2C52A0DE">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指标</w:t>
            </w:r>
          </w:p>
        </w:tc>
        <w:tc>
          <w:tcPr>
            <w:tcW w:w="1255" w:type="dxa"/>
            <w:tcBorders>
              <w:top w:val="single" w:color="auto" w:sz="4" w:space="0"/>
              <w:left w:val="single" w:color="auto" w:sz="4" w:space="0"/>
              <w:bottom w:val="single" w:color="auto" w:sz="4" w:space="0"/>
              <w:right w:val="single" w:color="auto" w:sz="4" w:space="0"/>
            </w:tcBorders>
          </w:tcPr>
          <w:p w14:paraId="3E2C1AD1">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2025年</w:t>
            </w:r>
          </w:p>
        </w:tc>
        <w:tc>
          <w:tcPr>
            <w:tcW w:w="1605" w:type="dxa"/>
            <w:tcBorders>
              <w:top w:val="single" w:color="auto" w:sz="4" w:space="0"/>
              <w:left w:val="single" w:color="auto" w:sz="4" w:space="0"/>
              <w:bottom w:val="single" w:color="auto" w:sz="4" w:space="0"/>
              <w:right w:val="single" w:color="auto" w:sz="4" w:space="0"/>
            </w:tcBorders>
          </w:tcPr>
          <w:p w14:paraId="1FF900EC">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指标属性</w:t>
            </w:r>
          </w:p>
        </w:tc>
      </w:tr>
      <w:tr w14:paraId="1FFBF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2" w:type="dxa"/>
            <w:tcBorders>
              <w:top w:val="single" w:color="auto" w:sz="4" w:space="0"/>
              <w:left w:val="single" w:color="auto" w:sz="4" w:space="0"/>
              <w:bottom w:val="single" w:color="auto" w:sz="4" w:space="0"/>
              <w:right w:val="single" w:color="auto" w:sz="4" w:space="0"/>
            </w:tcBorders>
          </w:tcPr>
          <w:p w14:paraId="7784F89F">
            <w:pPr>
              <w:keepNext w:val="0"/>
              <w:keepLines w:val="0"/>
              <w:pageBreakBefore w:val="0"/>
              <w:kinsoku/>
              <w:overflowPunct/>
              <w:topLinePunct w:val="0"/>
              <w:autoSpaceDE/>
              <w:autoSpaceDN/>
              <w:bidi w:val="0"/>
              <w:adjustRightInd/>
              <w:spacing w:line="560" w:lineRule="exact"/>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1.残疾人家庭人均收入年均增长（%）</w:t>
            </w:r>
          </w:p>
        </w:tc>
        <w:tc>
          <w:tcPr>
            <w:tcW w:w="1255" w:type="dxa"/>
            <w:tcBorders>
              <w:top w:val="single" w:color="auto" w:sz="4" w:space="0"/>
              <w:left w:val="single" w:color="auto" w:sz="4" w:space="0"/>
              <w:bottom w:val="single" w:color="auto" w:sz="4" w:space="0"/>
              <w:right w:val="single" w:color="auto" w:sz="4" w:space="0"/>
            </w:tcBorders>
          </w:tcPr>
          <w:p w14:paraId="68176101">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与全</w:t>
            </w:r>
            <w:r>
              <w:rPr>
                <w:rFonts w:hint="default" w:ascii="Times New Roman" w:hAnsi="Times New Roman" w:eastAsia="仿宋" w:cs="Times New Roman"/>
                <w:color w:val="auto"/>
                <w:sz w:val="24"/>
                <w:szCs w:val="24"/>
                <w:highlight w:val="none"/>
                <w:lang w:eastAsia="zh-CN"/>
              </w:rPr>
              <w:t>旗</w:t>
            </w:r>
            <w:r>
              <w:rPr>
                <w:rFonts w:hint="default" w:ascii="Times New Roman" w:hAnsi="Times New Roman" w:eastAsia="仿宋" w:cs="Times New Roman"/>
                <w:color w:val="auto"/>
                <w:sz w:val="24"/>
                <w:szCs w:val="24"/>
                <w:highlight w:val="none"/>
              </w:rPr>
              <w:t>生产总值增长同步</w:t>
            </w:r>
          </w:p>
        </w:tc>
        <w:tc>
          <w:tcPr>
            <w:tcW w:w="1605" w:type="dxa"/>
            <w:tcBorders>
              <w:top w:val="single" w:color="auto" w:sz="4" w:space="0"/>
              <w:left w:val="single" w:color="auto" w:sz="4" w:space="0"/>
              <w:bottom w:val="single" w:color="auto" w:sz="4" w:space="0"/>
              <w:right w:val="single" w:color="auto" w:sz="4" w:space="0"/>
            </w:tcBorders>
          </w:tcPr>
          <w:p w14:paraId="2EFAA040">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预期性</w:t>
            </w:r>
          </w:p>
        </w:tc>
      </w:tr>
      <w:tr w14:paraId="5D76A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2" w:type="dxa"/>
            <w:tcBorders>
              <w:top w:val="single" w:color="auto" w:sz="4" w:space="0"/>
              <w:left w:val="single" w:color="auto" w:sz="4" w:space="0"/>
              <w:bottom w:val="single" w:color="auto" w:sz="4" w:space="0"/>
              <w:right w:val="single" w:color="auto" w:sz="4" w:space="0"/>
            </w:tcBorders>
          </w:tcPr>
          <w:p w14:paraId="1C6D0DAC">
            <w:pPr>
              <w:keepNext w:val="0"/>
              <w:keepLines w:val="0"/>
              <w:pageBreakBefore w:val="0"/>
              <w:kinsoku/>
              <w:overflowPunct/>
              <w:topLinePunct w:val="0"/>
              <w:autoSpaceDE/>
              <w:autoSpaceDN/>
              <w:bidi w:val="0"/>
              <w:adjustRightInd/>
              <w:spacing w:line="560" w:lineRule="exact"/>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2.城乡残疾人职业技能培训人数（人次）</w:t>
            </w:r>
          </w:p>
        </w:tc>
        <w:tc>
          <w:tcPr>
            <w:tcW w:w="1255" w:type="dxa"/>
            <w:tcBorders>
              <w:top w:val="single" w:color="auto" w:sz="4" w:space="0"/>
              <w:left w:val="single" w:color="auto" w:sz="4" w:space="0"/>
              <w:bottom w:val="single" w:color="auto" w:sz="4" w:space="0"/>
              <w:right w:val="single" w:color="auto" w:sz="4" w:space="0"/>
            </w:tcBorders>
          </w:tcPr>
          <w:p w14:paraId="2EA88B3C">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rPr>
              <w:t>＞</w:t>
            </w:r>
            <w:r>
              <w:rPr>
                <w:rFonts w:hint="default" w:ascii="Times New Roman" w:hAnsi="Times New Roman" w:eastAsia="仿宋" w:cs="Times New Roman"/>
                <w:color w:val="auto"/>
                <w:sz w:val="24"/>
                <w:szCs w:val="24"/>
                <w:highlight w:val="none"/>
                <w:lang w:val="en-US" w:eastAsia="zh-CN"/>
              </w:rPr>
              <w:t>200</w:t>
            </w:r>
          </w:p>
        </w:tc>
        <w:tc>
          <w:tcPr>
            <w:tcW w:w="1605" w:type="dxa"/>
            <w:tcBorders>
              <w:top w:val="single" w:color="auto" w:sz="4" w:space="0"/>
              <w:left w:val="single" w:color="auto" w:sz="4" w:space="0"/>
              <w:bottom w:val="single" w:color="auto" w:sz="4" w:space="0"/>
              <w:right w:val="single" w:color="auto" w:sz="4" w:space="0"/>
            </w:tcBorders>
          </w:tcPr>
          <w:p w14:paraId="192EAF33">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预期性</w:t>
            </w:r>
          </w:p>
        </w:tc>
      </w:tr>
      <w:tr w14:paraId="06C4B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5662" w:type="dxa"/>
            <w:tcBorders>
              <w:top w:val="single" w:color="auto" w:sz="4" w:space="0"/>
              <w:left w:val="single" w:color="auto" w:sz="4" w:space="0"/>
              <w:bottom w:val="single" w:color="auto" w:sz="4" w:space="0"/>
              <w:right w:val="single" w:color="auto" w:sz="4" w:space="0"/>
            </w:tcBorders>
          </w:tcPr>
          <w:p w14:paraId="1D4DB755">
            <w:pPr>
              <w:keepNext w:val="0"/>
              <w:keepLines w:val="0"/>
              <w:pageBreakBefore w:val="0"/>
              <w:kinsoku/>
              <w:overflowPunct/>
              <w:topLinePunct w:val="0"/>
              <w:autoSpaceDE/>
              <w:autoSpaceDN/>
              <w:bidi w:val="0"/>
              <w:adjustRightInd/>
              <w:spacing w:line="560" w:lineRule="exact"/>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3.符合条件的残疾人纳入最低生活保障比例（%）</w:t>
            </w:r>
          </w:p>
        </w:tc>
        <w:tc>
          <w:tcPr>
            <w:tcW w:w="1255" w:type="dxa"/>
            <w:tcBorders>
              <w:top w:val="single" w:color="auto" w:sz="4" w:space="0"/>
              <w:left w:val="single" w:color="auto" w:sz="4" w:space="0"/>
              <w:bottom w:val="single" w:color="auto" w:sz="4" w:space="0"/>
              <w:right w:val="single" w:color="auto" w:sz="4" w:space="0"/>
            </w:tcBorders>
          </w:tcPr>
          <w:p w14:paraId="0C9264AE">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100</w:t>
            </w:r>
          </w:p>
        </w:tc>
        <w:tc>
          <w:tcPr>
            <w:tcW w:w="1605" w:type="dxa"/>
            <w:tcBorders>
              <w:top w:val="single" w:color="auto" w:sz="4" w:space="0"/>
              <w:left w:val="single" w:color="auto" w:sz="4" w:space="0"/>
              <w:bottom w:val="single" w:color="auto" w:sz="4" w:space="0"/>
              <w:right w:val="single" w:color="auto" w:sz="4" w:space="0"/>
            </w:tcBorders>
          </w:tcPr>
          <w:p w14:paraId="12FDAC1C">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约束性</w:t>
            </w:r>
          </w:p>
        </w:tc>
      </w:tr>
      <w:tr w14:paraId="207EC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2" w:type="dxa"/>
            <w:tcBorders>
              <w:top w:val="single" w:color="auto" w:sz="4" w:space="0"/>
              <w:left w:val="single" w:color="auto" w:sz="4" w:space="0"/>
              <w:bottom w:val="single" w:color="auto" w:sz="4" w:space="0"/>
              <w:right w:val="single" w:color="auto" w:sz="4" w:space="0"/>
            </w:tcBorders>
          </w:tcPr>
          <w:p w14:paraId="7AF35891">
            <w:pPr>
              <w:keepNext w:val="0"/>
              <w:keepLines w:val="0"/>
              <w:pageBreakBefore w:val="0"/>
              <w:kinsoku/>
              <w:overflowPunct/>
              <w:topLinePunct w:val="0"/>
              <w:autoSpaceDE/>
              <w:autoSpaceDN/>
              <w:bidi w:val="0"/>
              <w:adjustRightInd/>
              <w:spacing w:line="560" w:lineRule="exact"/>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4.困难残疾人生活补贴覆盖率（%）</w:t>
            </w:r>
          </w:p>
        </w:tc>
        <w:tc>
          <w:tcPr>
            <w:tcW w:w="1255" w:type="dxa"/>
            <w:tcBorders>
              <w:top w:val="single" w:color="auto" w:sz="4" w:space="0"/>
              <w:left w:val="single" w:color="auto" w:sz="4" w:space="0"/>
              <w:bottom w:val="single" w:color="auto" w:sz="4" w:space="0"/>
              <w:right w:val="single" w:color="auto" w:sz="4" w:space="0"/>
            </w:tcBorders>
          </w:tcPr>
          <w:p w14:paraId="7870195D">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100</w:t>
            </w:r>
          </w:p>
        </w:tc>
        <w:tc>
          <w:tcPr>
            <w:tcW w:w="1605" w:type="dxa"/>
            <w:tcBorders>
              <w:top w:val="single" w:color="auto" w:sz="4" w:space="0"/>
              <w:left w:val="single" w:color="auto" w:sz="4" w:space="0"/>
              <w:bottom w:val="single" w:color="auto" w:sz="4" w:space="0"/>
              <w:right w:val="single" w:color="auto" w:sz="4" w:space="0"/>
            </w:tcBorders>
          </w:tcPr>
          <w:p w14:paraId="7E930D34">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约束性</w:t>
            </w:r>
          </w:p>
        </w:tc>
      </w:tr>
      <w:tr w14:paraId="2E50D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2" w:type="dxa"/>
            <w:tcBorders>
              <w:top w:val="single" w:color="auto" w:sz="4" w:space="0"/>
              <w:left w:val="single" w:color="auto" w:sz="4" w:space="0"/>
              <w:bottom w:val="single" w:color="auto" w:sz="4" w:space="0"/>
              <w:right w:val="single" w:color="auto" w:sz="4" w:space="0"/>
            </w:tcBorders>
          </w:tcPr>
          <w:p w14:paraId="4D147327">
            <w:pPr>
              <w:keepNext w:val="0"/>
              <w:keepLines w:val="0"/>
              <w:pageBreakBefore w:val="0"/>
              <w:kinsoku/>
              <w:overflowPunct/>
              <w:topLinePunct w:val="0"/>
              <w:autoSpaceDE/>
              <w:autoSpaceDN/>
              <w:bidi w:val="0"/>
              <w:adjustRightInd/>
              <w:spacing w:line="560" w:lineRule="exact"/>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5.重度残疾人护理补贴覆盖率（%）</w:t>
            </w:r>
          </w:p>
        </w:tc>
        <w:tc>
          <w:tcPr>
            <w:tcW w:w="1255" w:type="dxa"/>
            <w:tcBorders>
              <w:top w:val="single" w:color="auto" w:sz="4" w:space="0"/>
              <w:left w:val="single" w:color="auto" w:sz="4" w:space="0"/>
              <w:bottom w:val="single" w:color="auto" w:sz="4" w:space="0"/>
              <w:right w:val="single" w:color="auto" w:sz="4" w:space="0"/>
            </w:tcBorders>
          </w:tcPr>
          <w:p w14:paraId="100A5E41">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100</w:t>
            </w:r>
          </w:p>
        </w:tc>
        <w:tc>
          <w:tcPr>
            <w:tcW w:w="1605" w:type="dxa"/>
            <w:tcBorders>
              <w:top w:val="single" w:color="auto" w:sz="4" w:space="0"/>
              <w:left w:val="single" w:color="auto" w:sz="4" w:space="0"/>
              <w:bottom w:val="single" w:color="auto" w:sz="4" w:space="0"/>
              <w:right w:val="single" w:color="auto" w:sz="4" w:space="0"/>
            </w:tcBorders>
          </w:tcPr>
          <w:p w14:paraId="7F8B130E">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约束性</w:t>
            </w:r>
          </w:p>
        </w:tc>
      </w:tr>
      <w:tr w14:paraId="5D380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2" w:type="dxa"/>
            <w:tcBorders>
              <w:top w:val="single" w:color="auto" w:sz="4" w:space="0"/>
              <w:left w:val="single" w:color="auto" w:sz="4" w:space="0"/>
              <w:bottom w:val="single" w:color="auto" w:sz="4" w:space="0"/>
              <w:right w:val="single" w:color="auto" w:sz="4" w:space="0"/>
            </w:tcBorders>
          </w:tcPr>
          <w:p w14:paraId="25BFE6D6">
            <w:pPr>
              <w:keepNext w:val="0"/>
              <w:keepLines w:val="0"/>
              <w:pageBreakBefore w:val="0"/>
              <w:kinsoku/>
              <w:overflowPunct/>
              <w:topLinePunct w:val="0"/>
              <w:autoSpaceDE/>
              <w:autoSpaceDN/>
              <w:bidi w:val="0"/>
              <w:adjustRightInd/>
              <w:spacing w:line="560" w:lineRule="exact"/>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6.残疾人基本养老保险参保率（%）</w:t>
            </w:r>
          </w:p>
        </w:tc>
        <w:tc>
          <w:tcPr>
            <w:tcW w:w="1255" w:type="dxa"/>
            <w:tcBorders>
              <w:top w:val="single" w:color="auto" w:sz="4" w:space="0"/>
              <w:left w:val="single" w:color="auto" w:sz="4" w:space="0"/>
              <w:bottom w:val="single" w:color="auto" w:sz="4" w:space="0"/>
              <w:right w:val="single" w:color="auto" w:sz="4" w:space="0"/>
            </w:tcBorders>
          </w:tcPr>
          <w:p w14:paraId="329C30C5">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＞90</w:t>
            </w:r>
          </w:p>
        </w:tc>
        <w:tc>
          <w:tcPr>
            <w:tcW w:w="1605" w:type="dxa"/>
            <w:tcBorders>
              <w:top w:val="single" w:color="auto" w:sz="4" w:space="0"/>
              <w:left w:val="single" w:color="auto" w:sz="4" w:space="0"/>
              <w:bottom w:val="single" w:color="auto" w:sz="4" w:space="0"/>
              <w:right w:val="single" w:color="auto" w:sz="4" w:space="0"/>
            </w:tcBorders>
          </w:tcPr>
          <w:p w14:paraId="72C60D80">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预期性</w:t>
            </w:r>
          </w:p>
        </w:tc>
      </w:tr>
      <w:tr w14:paraId="36A48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2" w:type="dxa"/>
            <w:tcBorders>
              <w:top w:val="single" w:color="auto" w:sz="4" w:space="0"/>
              <w:left w:val="single" w:color="auto" w:sz="4" w:space="0"/>
              <w:bottom w:val="single" w:color="auto" w:sz="4" w:space="0"/>
              <w:right w:val="single" w:color="auto" w:sz="4" w:space="0"/>
            </w:tcBorders>
          </w:tcPr>
          <w:p w14:paraId="32C1CC53">
            <w:pPr>
              <w:keepNext w:val="0"/>
              <w:keepLines w:val="0"/>
              <w:pageBreakBefore w:val="0"/>
              <w:kinsoku/>
              <w:overflowPunct/>
              <w:topLinePunct w:val="0"/>
              <w:autoSpaceDE/>
              <w:autoSpaceDN/>
              <w:bidi w:val="0"/>
              <w:adjustRightInd/>
              <w:spacing w:line="560" w:lineRule="exact"/>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7.残疾人基本医疗保险参保率（%）</w:t>
            </w:r>
          </w:p>
        </w:tc>
        <w:tc>
          <w:tcPr>
            <w:tcW w:w="1255" w:type="dxa"/>
            <w:tcBorders>
              <w:top w:val="single" w:color="auto" w:sz="4" w:space="0"/>
              <w:left w:val="single" w:color="auto" w:sz="4" w:space="0"/>
              <w:bottom w:val="single" w:color="auto" w:sz="4" w:space="0"/>
              <w:right w:val="single" w:color="auto" w:sz="4" w:space="0"/>
            </w:tcBorders>
          </w:tcPr>
          <w:p w14:paraId="716CC829">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＞95</w:t>
            </w:r>
          </w:p>
        </w:tc>
        <w:tc>
          <w:tcPr>
            <w:tcW w:w="1605" w:type="dxa"/>
            <w:tcBorders>
              <w:top w:val="single" w:color="auto" w:sz="4" w:space="0"/>
              <w:left w:val="single" w:color="auto" w:sz="4" w:space="0"/>
              <w:bottom w:val="single" w:color="auto" w:sz="4" w:space="0"/>
              <w:right w:val="single" w:color="auto" w:sz="4" w:space="0"/>
            </w:tcBorders>
          </w:tcPr>
          <w:p w14:paraId="6B4F5C10">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预期性</w:t>
            </w:r>
          </w:p>
        </w:tc>
      </w:tr>
      <w:tr w14:paraId="1F656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2" w:type="dxa"/>
            <w:tcBorders>
              <w:top w:val="single" w:color="auto" w:sz="4" w:space="0"/>
              <w:left w:val="single" w:color="auto" w:sz="4" w:space="0"/>
              <w:bottom w:val="single" w:color="auto" w:sz="4" w:space="0"/>
              <w:right w:val="single" w:color="auto" w:sz="4" w:space="0"/>
            </w:tcBorders>
          </w:tcPr>
          <w:p w14:paraId="3E8E7792">
            <w:pPr>
              <w:keepNext w:val="0"/>
              <w:keepLines w:val="0"/>
              <w:pageBreakBefore w:val="0"/>
              <w:kinsoku/>
              <w:overflowPunct/>
              <w:topLinePunct w:val="0"/>
              <w:autoSpaceDE/>
              <w:autoSpaceDN/>
              <w:bidi w:val="0"/>
              <w:adjustRightInd/>
              <w:spacing w:line="560" w:lineRule="exact"/>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8.残疾儿童少年义务教育入学率（%）</w:t>
            </w:r>
          </w:p>
        </w:tc>
        <w:tc>
          <w:tcPr>
            <w:tcW w:w="1255" w:type="dxa"/>
            <w:tcBorders>
              <w:top w:val="single" w:color="auto" w:sz="4" w:space="0"/>
              <w:left w:val="single" w:color="auto" w:sz="4" w:space="0"/>
              <w:bottom w:val="single" w:color="auto" w:sz="4" w:space="0"/>
              <w:right w:val="single" w:color="auto" w:sz="4" w:space="0"/>
            </w:tcBorders>
          </w:tcPr>
          <w:p w14:paraId="413216E5">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＞97</w:t>
            </w:r>
          </w:p>
        </w:tc>
        <w:tc>
          <w:tcPr>
            <w:tcW w:w="1605" w:type="dxa"/>
            <w:tcBorders>
              <w:top w:val="single" w:color="auto" w:sz="4" w:space="0"/>
              <w:left w:val="single" w:color="auto" w:sz="4" w:space="0"/>
              <w:bottom w:val="single" w:color="auto" w:sz="4" w:space="0"/>
              <w:right w:val="single" w:color="auto" w:sz="4" w:space="0"/>
            </w:tcBorders>
          </w:tcPr>
          <w:p w14:paraId="3ED8D630">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预期性</w:t>
            </w:r>
          </w:p>
        </w:tc>
      </w:tr>
      <w:tr w14:paraId="5F94F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2" w:type="dxa"/>
            <w:tcBorders>
              <w:top w:val="single" w:color="auto" w:sz="4" w:space="0"/>
              <w:left w:val="single" w:color="auto" w:sz="4" w:space="0"/>
              <w:bottom w:val="single" w:color="auto" w:sz="4" w:space="0"/>
              <w:right w:val="single" w:color="auto" w:sz="4" w:space="0"/>
            </w:tcBorders>
          </w:tcPr>
          <w:p w14:paraId="44EC8148">
            <w:pPr>
              <w:keepNext w:val="0"/>
              <w:keepLines w:val="0"/>
              <w:pageBreakBefore w:val="0"/>
              <w:kinsoku/>
              <w:overflowPunct/>
              <w:topLinePunct w:val="0"/>
              <w:autoSpaceDE/>
              <w:autoSpaceDN/>
              <w:bidi w:val="0"/>
              <w:adjustRightInd/>
              <w:spacing w:line="560" w:lineRule="exact"/>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9.残疾人基本康复服务覆盖率（%）</w:t>
            </w:r>
          </w:p>
        </w:tc>
        <w:tc>
          <w:tcPr>
            <w:tcW w:w="1255" w:type="dxa"/>
            <w:tcBorders>
              <w:top w:val="single" w:color="auto" w:sz="4" w:space="0"/>
              <w:left w:val="single" w:color="auto" w:sz="4" w:space="0"/>
              <w:bottom w:val="single" w:color="auto" w:sz="4" w:space="0"/>
              <w:right w:val="single" w:color="auto" w:sz="4" w:space="0"/>
            </w:tcBorders>
          </w:tcPr>
          <w:p w14:paraId="59319EA5">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＞92</w:t>
            </w:r>
          </w:p>
        </w:tc>
        <w:tc>
          <w:tcPr>
            <w:tcW w:w="1605" w:type="dxa"/>
            <w:tcBorders>
              <w:top w:val="single" w:color="auto" w:sz="4" w:space="0"/>
              <w:left w:val="single" w:color="auto" w:sz="4" w:space="0"/>
              <w:bottom w:val="single" w:color="auto" w:sz="4" w:space="0"/>
              <w:right w:val="single" w:color="auto" w:sz="4" w:space="0"/>
            </w:tcBorders>
          </w:tcPr>
          <w:p w14:paraId="3EA5C1B5">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约束性</w:t>
            </w:r>
          </w:p>
        </w:tc>
      </w:tr>
      <w:tr w14:paraId="23A5F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2" w:type="dxa"/>
            <w:tcBorders>
              <w:top w:val="single" w:color="auto" w:sz="4" w:space="0"/>
              <w:left w:val="single" w:color="auto" w:sz="4" w:space="0"/>
              <w:bottom w:val="single" w:color="auto" w:sz="4" w:space="0"/>
              <w:right w:val="single" w:color="auto" w:sz="4" w:space="0"/>
            </w:tcBorders>
          </w:tcPr>
          <w:p w14:paraId="7A3FE5DF">
            <w:pPr>
              <w:keepNext w:val="0"/>
              <w:keepLines w:val="0"/>
              <w:pageBreakBefore w:val="0"/>
              <w:kinsoku/>
              <w:overflowPunct/>
              <w:topLinePunct w:val="0"/>
              <w:autoSpaceDE/>
              <w:autoSpaceDN/>
              <w:bidi w:val="0"/>
              <w:adjustRightInd/>
              <w:spacing w:line="560" w:lineRule="exact"/>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10.残疾人辅助器具适配率（%）</w:t>
            </w:r>
          </w:p>
        </w:tc>
        <w:tc>
          <w:tcPr>
            <w:tcW w:w="1255" w:type="dxa"/>
            <w:tcBorders>
              <w:top w:val="single" w:color="auto" w:sz="4" w:space="0"/>
              <w:left w:val="single" w:color="auto" w:sz="4" w:space="0"/>
              <w:bottom w:val="single" w:color="auto" w:sz="4" w:space="0"/>
              <w:right w:val="single" w:color="auto" w:sz="4" w:space="0"/>
            </w:tcBorders>
          </w:tcPr>
          <w:p w14:paraId="4241B629">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rPr>
              <w:t>＞9</w:t>
            </w:r>
            <w:r>
              <w:rPr>
                <w:rFonts w:hint="default" w:ascii="Times New Roman" w:hAnsi="Times New Roman" w:eastAsia="仿宋" w:cs="Times New Roman"/>
                <w:color w:val="auto"/>
                <w:sz w:val="24"/>
                <w:szCs w:val="24"/>
                <w:highlight w:val="none"/>
                <w:lang w:val="en-US" w:eastAsia="zh-CN"/>
              </w:rPr>
              <w:t>5</w:t>
            </w:r>
          </w:p>
        </w:tc>
        <w:tc>
          <w:tcPr>
            <w:tcW w:w="1605" w:type="dxa"/>
            <w:tcBorders>
              <w:top w:val="single" w:color="auto" w:sz="4" w:space="0"/>
              <w:left w:val="single" w:color="auto" w:sz="4" w:space="0"/>
              <w:bottom w:val="single" w:color="auto" w:sz="4" w:space="0"/>
              <w:right w:val="single" w:color="auto" w:sz="4" w:space="0"/>
            </w:tcBorders>
          </w:tcPr>
          <w:p w14:paraId="1ED5A57A">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约束性</w:t>
            </w:r>
          </w:p>
        </w:tc>
      </w:tr>
      <w:tr w14:paraId="32565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2" w:type="dxa"/>
            <w:tcBorders>
              <w:top w:val="single" w:color="auto" w:sz="4" w:space="0"/>
              <w:left w:val="single" w:color="auto" w:sz="4" w:space="0"/>
              <w:bottom w:val="single" w:color="auto" w:sz="4" w:space="0"/>
              <w:right w:val="single" w:color="auto" w:sz="4" w:space="0"/>
            </w:tcBorders>
          </w:tcPr>
          <w:p w14:paraId="426F6E85">
            <w:pPr>
              <w:keepNext w:val="0"/>
              <w:keepLines w:val="0"/>
              <w:pageBreakBefore w:val="0"/>
              <w:kinsoku/>
              <w:overflowPunct/>
              <w:topLinePunct w:val="0"/>
              <w:autoSpaceDE/>
              <w:autoSpaceDN/>
              <w:bidi w:val="0"/>
              <w:adjustRightInd/>
              <w:spacing w:line="560" w:lineRule="exact"/>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11.困难重度残疾人家庭无障碍改造数（户）</w:t>
            </w:r>
          </w:p>
        </w:tc>
        <w:tc>
          <w:tcPr>
            <w:tcW w:w="1255" w:type="dxa"/>
            <w:tcBorders>
              <w:top w:val="single" w:color="auto" w:sz="4" w:space="0"/>
              <w:left w:val="single" w:color="auto" w:sz="4" w:space="0"/>
              <w:bottom w:val="single" w:color="auto" w:sz="4" w:space="0"/>
              <w:right w:val="single" w:color="auto" w:sz="4" w:space="0"/>
            </w:tcBorders>
          </w:tcPr>
          <w:p w14:paraId="48665E8F">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rPr>
              <w:t>≥</w:t>
            </w:r>
            <w:r>
              <w:rPr>
                <w:rFonts w:hint="default" w:ascii="Times New Roman" w:hAnsi="Times New Roman" w:eastAsia="仿宋" w:cs="Times New Roman"/>
                <w:color w:val="auto"/>
                <w:sz w:val="24"/>
                <w:szCs w:val="24"/>
                <w:highlight w:val="none"/>
                <w:lang w:val="en-US" w:eastAsia="zh-CN"/>
              </w:rPr>
              <w:t>400</w:t>
            </w:r>
          </w:p>
        </w:tc>
        <w:tc>
          <w:tcPr>
            <w:tcW w:w="1605" w:type="dxa"/>
            <w:tcBorders>
              <w:top w:val="single" w:color="auto" w:sz="4" w:space="0"/>
              <w:left w:val="single" w:color="auto" w:sz="4" w:space="0"/>
              <w:bottom w:val="single" w:color="auto" w:sz="4" w:space="0"/>
              <w:right w:val="single" w:color="auto" w:sz="4" w:space="0"/>
            </w:tcBorders>
          </w:tcPr>
          <w:p w14:paraId="6C1A801D">
            <w:pPr>
              <w:keepNext w:val="0"/>
              <w:keepLines w:val="0"/>
              <w:pageBreakBefore w:val="0"/>
              <w:kinsoku/>
              <w:overflowPunct/>
              <w:topLinePunct w:val="0"/>
              <w:autoSpaceDE/>
              <w:autoSpaceDN/>
              <w:bidi w:val="0"/>
              <w:adjustRightInd/>
              <w:spacing w:line="560" w:lineRule="exact"/>
              <w:jc w:val="center"/>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约束性</w:t>
            </w:r>
          </w:p>
        </w:tc>
      </w:tr>
    </w:tbl>
    <w:p w14:paraId="2FE4D14D">
      <w:pPr>
        <w:pStyle w:val="2"/>
        <w:keepNext w:val="0"/>
        <w:keepLines w:val="0"/>
        <w:pageBreakBefore w:val="0"/>
        <w:kinsoku/>
        <w:overflowPunct/>
        <w:topLinePunct w:val="0"/>
        <w:autoSpaceDE/>
        <w:autoSpaceDN/>
        <w:bidi w:val="0"/>
        <w:adjustRightInd/>
        <w:spacing w:line="560" w:lineRule="exact"/>
        <w:ind w:firstLine="640" w:firstLineChars="200"/>
        <w:jc w:val="both"/>
        <w:textAlignment w:val="auto"/>
        <w:rPr>
          <w:rFonts w:hint="default" w:ascii="Times New Roman" w:hAnsi="Times New Roman" w:eastAsia="黑体" w:cs="Times New Roman"/>
          <w:b/>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理解、尊重、关心、帮助残疾人的社会氛围日益浓厚，助残志愿者队伍和社会组织进一步壮大，无障碍环境持续优化，残疾人在政治、经济、文化、社会、家庭生活等各方面平等权利得到更好实现，残疾人发展环境实现再优化。</w:t>
      </w:r>
      <w:bookmarkStart w:id="5" w:name="_Toc18667"/>
    </w:p>
    <w:p w14:paraId="5E5FEBEE">
      <w:pPr>
        <w:pStyle w:val="2"/>
        <w:keepNext w:val="0"/>
        <w:keepLines w:val="0"/>
        <w:pageBreakBefore w:val="0"/>
        <w:kinsoku/>
        <w:overflowPunct/>
        <w:topLinePunct w:val="0"/>
        <w:autoSpaceDE/>
        <w:autoSpaceDN/>
        <w:bidi w:val="0"/>
        <w:adjustRightInd/>
        <w:spacing w:line="560" w:lineRule="exact"/>
        <w:ind w:firstLine="640" w:firstLineChars="200"/>
        <w:jc w:val="both"/>
        <w:textAlignment w:val="auto"/>
        <w:outlineLvl w:val="0"/>
        <w:rPr>
          <w:rFonts w:hint="default" w:ascii="Times New Roman" w:hAnsi="Times New Roman" w:eastAsia="黑体" w:cs="Times New Roman"/>
          <w:b w:val="0"/>
          <w:bCs/>
          <w:color w:val="000000" w:themeColor="text1"/>
          <w:sz w:val="32"/>
          <w:szCs w:val="32"/>
          <w:highlight w:val="none"/>
          <w14:textFill>
            <w14:solidFill>
              <w14:schemeClr w14:val="tx1"/>
            </w14:solidFill>
          </w14:textFill>
        </w:rPr>
      </w:pPr>
      <w:r>
        <w:rPr>
          <w:rFonts w:hint="default" w:ascii="Times New Roman" w:hAnsi="Times New Roman" w:eastAsia="黑体" w:cs="Times New Roman"/>
          <w:b w:val="0"/>
          <w:bCs/>
          <w:color w:val="000000" w:themeColor="text1"/>
          <w:sz w:val="32"/>
          <w:szCs w:val="32"/>
          <w:highlight w:val="none"/>
          <w14:textFill>
            <w14:solidFill>
              <w14:schemeClr w14:val="tx1"/>
            </w14:solidFill>
          </w14:textFill>
        </w:rPr>
        <w:t>三、主要任务与工作重点</w:t>
      </w:r>
      <w:bookmarkEnd w:id="5"/>
    </w:p>
    <w:p w14:paraId="7CC0B2D1">
      <w:pPr>
        <w:keepNext w:val="0"/>
        <w:keepLines w:val="0"/>
        <w:pageBreakBefore w:val="0"/>
        <w:kinsoku/>
        <w:overflowPunct/>
        <w:topLinePunct w:val="0"/>
        <w:autoSpaceDE/>
        <w:autoSpaceDN/>
        <w:bidi w:val="0"/>
        <w:adjustRightInd/>
        <w:spacing w:line="560" w:lineRule="exact"/>
        <w:ind w:firstLine="640" w:firstLineChars="200"/>
        <w:jc w:val="both"/>
        <w:textAlignment w:val="auto"/>
        <w:outlineLvl w:val="1"/>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bookmarkStart w:id="6" w:name="_Toc19265"/>
      <w:r>
        <w:rPr>
          <w:rFonts w:hint="default" w:ascii="Times New Roman" w:hAnsi="Times New Roman" w:eastAsia="楷体_GB2312" w:cs="Times New Roman"/>
          <w:bCs/>
          <w:color w:val="000000" w:themeColor="text1"/>
          <w:sz w:val="32"/>
          <w:szCs w:val="32"/>
          <w:highlight w:val="none"/>
          <w14:textFill>
            <w14:solidFill>
              <w14:schemeClr w14:val="tx1"/>
            </w14:solidFill>
          </w14:textFill>
        </w:rPr>
        <w:t>（一）完善保障体系，全面促进残疾人共同富裕</w:t>
      </w:r>
      <w:bookmarkEnd w:id="6"/>
    </w:p>
    <w:p w14:paraId="3BAD9AEC">
      <w:pPr>
        <w:keepNext w:val="0"/>
        <w:keepLines w:val="0"/>
        <w:pageBreakBefore w:val="0"/>
        <w:widowControl/>
        <w:shd w:val="clear" w:color="auto" w:fill="FFFFFF"/>
        <w:kinsoku/>
        <w:wordWrap w:val="0"/>
        <w:overflowPunct/>
        <w:topLinePunct w:val="0"/>
        <w:autoSpaceDE/>
        <w:autoSpaceDN/>
        <w:bidi w:val="0"/>
        <w:adjustRightInd/>
        <w:spacing w:line="560" w:lineRule="exact"/>
        <w:ind w:firstLine="630" w:firstLineChars="196"/>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14:textFill>
            <w14:solidFill>
              <w14:schemeClr w14:val="tx1"/>
            </w14:solidFill>
          </w14:textFill>
        </w:rPr>
        <w:t>1.巩固拓展残疾人脱贫攻坚成果。</w:t>
      </w:r>
      <w:r>
        <w:rPr>
          <w:rFonts w:hint="default" w:ascii="Times New Roman" w:hAnsi="Times New Roman" w:eastAsia="仿宋_GB2312" w:cs="Times New Roman"/>
          <w:b w:val="0"/>
          <w:bCs/>
          <w:color w:val="000000" w:themeColor="text1"/>
          <w:sz w:val="32"/>
          <w:szCs w:val="32"/>
          <w:highlight w:val="none"/>
          <w:lang w:val="en-US" w:eastAsia="zh-CN"/>
          <w14:textFill>
            <w14:solidFill>
              <w14:schemeClr w14:val="tx1"/>
            </w14:solidFill>
          </w14:textFill>
        </w:rPr>
        <w:t>充分发挥巴林左</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旗作为国家乡村振兴重点帮扶县的有利契机，大力争取</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涉残项目资金</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的</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重点倾斜</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为左旗</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残疾人事业发展</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增添动力</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聚焦聚力巩固拓展残疾人脱贫攻坚成果，强化兜底保障措施，实现巩固拓展残疾人脱贫攻坚成果</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同</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乡村振兴战略有效衔接，持续夯实残疾人脱贫基础。加强对有返贫致贫风险和突发严重困难残疾人的动态监测，及时对返贫残疾人和新发生贫困残疾人给予帮扶。将困难残疾人帮扶作为京蒙协作的重要内容，持续发挥并巩固</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我在内蒙有只羊</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京蒙对口残疾人帮扶项目品牌效应，不断扩大残疾人受益面。稳步提升农村牧区低收入残疾人家庭收入水平，保障农村（牧区）残疾人的宅基地使用权、土地（草原）承包经营权、资产收益分配权等权益，帮助残疾人共享集体经济成果。</w:t>
      </w:r>
    </w:p>
    <w:p w14:paraId="18B48C9C">
      <w:pPr>
        <w:keepNext w:val="0"/>
        <w:keepLines w:val="0"/>
        <w:pageBreakBefore w:val="0"/>
        <w:kinsoku/>
        <w:overflowPunct/>
        <w:topLinePunct w:val="0"/>
        <w:autoSpaceDE/>
        <w:autoSpaceDN/>
        <w:bidi w:val="0"/>
        <w:adjustRightInd/>
        <w:spacing w:line="560" w:lineRule="exact"/>
        <w:ind w:firstLine="643"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color w:val="000000" w:themeColor="text1"/>
          <w:sz w:val="32"/>
          <w:szCs w:val="32"/>
          <w:highlight w:val="none"/>
          <w14:textFill>
            <w14:solidFill>
              <w14:schemeClr w14:val="tx1"/>
            </w14:solidFill>
          </w14:textFill>
        </w:rPr>
        <w:t>2.健全困难残疾人救助保障机制。</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实行专项救助制度，对符合低保、特困、低保边缘家庭等易返贫致贫和因病因灾因意外事故等刚性支出较大</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导致基本生活出现严重困难的支出型困难残疾人家庭，根据实际需要给予社会救助；为符合条件的残疾人和残疾人家庭提供特困人员救助供养</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将符合条件的残疾人家庭无力抚养的儿童纳入事实无人抚养儿童保障范围</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开展残疾人教育救助，对接受学前教育、义务教育、普通中等教育和职业教育、普通高等教育的困难残疾学生给予救助</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实现残疾人医疗救助与医疗保险、大病保险互补衔接</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auto"/>
          <w:sz w:val="32"/>
          <w:szCs w:val="32"/>
          <w:highlight w:val="none"/>
        </w:rPr>
        <w:t>加快发展残疾人社会工作专业服务，帮助残疾人构建家庭和社会支持网络。</w:t>
      </w:r>
    </w:p>
    <w:p w14:paraId="185CBAF5">
      <w:pPr>
        <w:keepNext w:val="0"/>
        <w:keepLines w:val="0"/>
        <w:pageBreakBefore w:val="0"/>
        <w:numPr>
          <w:ilvl w:val="0"/>
          <w:numId w:val="0"/>
        </w:numPr>
        <w:kinsoku/>
        <w:overflowPunct/>
        <w:topLinePunct w:val="0"/>
        <w:autoSpaceDE/>
        <w:autoSpaceDN/>
        <w:bidi w:val="0"/>
        <w:adjustRightInd/>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14:textFill>
            <w14:solidFill>
              <w14:schemeClr w14:val="tx1"/>
            </w14:solidFill>
          </w14:textFill>
        </w:rPr>
        <w:t>3.完善残疾人社会福利制度。</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完善最低生活保障制度，将未纳入低保或特困供养范围的低收入家庭中的重病、重残人员参照</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单人户</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纳入低保；建立困难残疾人生活补贴和重度残疾人护理补贴标准动态调整机制</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，争取</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将重度残疾人护理补贴范围向四级智力、精神残疾人或其他残疾人延伸，困难残疾人生活补贴范围向低保边缘家庭残疾人及其他困难残疾人延伸。加大对各级残疾人托养机构、辅助性就业机构及残疾人</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阳光家园</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温馨家园</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等日间照料机构的扶持力度；落实托养服务机构扶持政策，为全</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旗</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就业年龄阶段有托养需求的智力、精神和重度肢体残疾人等提供托养服务。整合民政、卫生健康、人力资源社会保障、残联等部门资源，为符合集中照护条件且有长期照料需求和意愿的重度残疾人提供集中照护服务。公益性养老服务资源优先满足符合条件的失能、半失能和盲、聋、智力、精神等残疾老年人的需要。</w:t>
      </w:r>
    </w:p>
    <w:p w14:paraId="14324FC0">
      <w:pPr>
        <w:keepNext w:val="0"/>
        <w:keepLines w:val="0"/>
        <w:pageBreakBefore w:val="0"/>
        <w:kinsoku/>
        <w:overflowPunct/>
        <w:topLinePunct w:val="0"/>
        <w:autoSpaceDE/>
        <w:autoSpaceDN/>
        <w:bidi w:val="0"/>
        <w:adjustRightInd/>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bCs w:val="0"/>
          <w:color w:val="000000" w:themeColor="text1"/>
          <w:sz w:val="32"/>
          <w:szCs w:val="32"/>
          <w:highlight w:val="none"/>
          <w14:textFill>
            <w14:solidFill>
              <w14:schemeClr w14:val="tx1"/>
            </w14:solidFill>
          </w14:textFill>
        </w:rPr>
        <w:t>4.提高残疾人保险覆盖率和待遇水平。</w:t>
      </w:r>
      <w:r>
        <w:rPr>
          <w:rFonts w:hint="default" w:ascii="Times New Roman" w:hAnsi="Times New Roman" w:eastAsia="仿宋_GB2312" w:cs="Times New Roman"/>
          <w:b w:val="0"/>
          <w:bCs/>
          <w:color w:val="000000" w:themeColor="text1"/>
          <w:sz w:val="32"/>
          <w:szCs w:val="32"/>
          <w:highlight w:val="none"/>
          <w:lang w:val="en-US" w:eastAsia="zh-CN"/>
          <w14:textFill>
            <w14:solidFill>
              <w14:schemeClr w14:val="tx1"/>
            </w14:solidFill>
          </w14:textFill>
        </w:rPr>
        <w:t>鼓励</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残疾人按规定加入基本养老和基本医疗保险，落实政府为重度残疾人参加城乡居民养老保险</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政策，</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低保、贫困</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残疾人参加城乡居民基本医疗保险所需个人缴费部分由政府给予补贴。积极落实残疾人意外伤害保险政策</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充分发挥商业保险在社会保障体系中的补充完善作用。</w:t>
      </w:r>
    </w:p>
    <w:p w14:paraId="6F13D6A6">
      <w:pPr>
        <w:keepNext w:val="0"/>
        <w:keepLines w:val="0"/>
        <w:pageBreakBefore w:val="0"/>
        <w:kinsoku/>
        <w:overflowPunct/>
        <w:topLinePunct w:val="0"/>
        <w:autoSpaceDE/>
        <w:autoSpaceDN/>
        <w:bidi w:val="0"/>
        <w:adjustRightInd/>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14:textFill>
            <w14:solidFill>
              <w14:schemeClr w14:val="tx1"/>
            </w14:solidFill>
          </w14:textFill>
        </w:rPr>
        <w:t>5.加强重大疫情、自然灾害等突发公共事件中对残疾人的保护。</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公共卫生和突发公共事件应急方案将残疾人列为优先保护对象，最大限度保护残疾人生命安全和身体健康。完善重大疫情防控措施，在属地疫情防控领导机构统一指挥下，突出康复服务机构、残疾人辅助性就业机构等重点部位和残疾儿童、精神、智力和重度残疾人等重点人群。做好重大疫情等突发公共事件中困难残疾人急难救助和生产生活帮扶工作。加强残疾人应对重大疫情和突发灾害技能的培训，增强残疾人自救互救能力。</w:t>
      </w:r>
    </w:p>
    <w:p w14:paraId="0559D067">
      <w:pPr>
        <w:keepNext w:val="0"/>
        <w:keepLines w:val="0"/>
        <w:pageBreakBefore w:val="0"/>
        <w:kinsoku/>
        <w:overflowPunct/>
        <w:topLinePunct w:val="0"/>
        <w:autoSpaceDE/>
        <w:autoSpaceDN/>
        <w:bidi w:val="0"/>
        <w:adjustRightInd/>
        <w:spacing w:line="560" w:lineRule="exact"/>
        <w:ind w:firstLine="640" w:firstLineChars="200"/>
        <w:jc w:val="both"/>
        <w:textAlignment w:val="auto"/>
        <w:outlineLvl w:val="1"/>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bookmarkStart w:id="7" w:name="_Toc21912"/>
      <w:r>
        <w:rPr>
          <w:rFonts w:hint="default" w:ascii="Times New Roman" w:hAnsi="Times New Roman" w:eastAsia="楷体_GB2312" w:cs="Times New Roman"/>
          <w:bCs/>
          <w:color w:val="000000" w:themeColor="text1"/>
          <w:sz w:val="32"/>
          <w:szCs w:val="32"/>
          <w:highlight w:val="none"/>
          <w14:textFill>
            <w14:solidFill>
              <w14:schemeClr w14:val="tx1"/>
            </w14:solidFill>
          </w14:textFill>
        </w:rPr>
        <w:t>（二）扩大就业创业，提升残疾人生活水平</w:t>
      </w:r>
      <w:bookmarkEnd w:id="7"/>
    </w:p>
    <w:p w14:paraId="76F517E6">
      <w:pPr>
        <w:keepNext w:val="0"/>
        <w:keepLines w:val="0"/>
        <w:pageBreakBefore w:val="0"/>
        <w:kinsoku/>
        <w:overflowPunct/>
        <w:topLinePunct w:val="0"/>
        <w:autoSpaceDE/>
        <w:autoSpaceDN/>
        <w:bidi w:val="0"/>
        <w:adjustRightInd/>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14:textFill>
            <w14:solidFill>
              <w14:schemeClr w14:val="tx1"/>
            </w14:solidFill>
          </w14:textFill>
        </w:rPr>
        <w:t>1.全面落实残疾人就业创业保障和扶持政策。</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落实《残疾人就业条例》（国务院令第488号）、《内蒙古自治区贯彻落实〈关于完善残疾人就业保障金制度更好促进残疾人就业的总体方案〉的实施意见》（内残联发〔2021〕10号）、《内蒙古自治区残疾人就业保障金征收使用管理实施办法》（内财非税规〔2021〕3号）和中国残联等五部委联合下发《关于印发〈机关、事业单位、国有企业带头安排残疾人就业办法〉的通知》（残联发〔2021〕51号），建立按比例安排残疾人就业年审制度，实现全国联网认证和跨省通办。推进党政机关、事业单位、国有企业按照工作需要设置符合残疾人就业特点的岗位</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完善残疾人就业保障金制度和残疾人就业资金投入机制，保障残疾人就业培训、奖励补贴、就业扶持、就业服务等支出。对自主创业、灵活就业的残疾人，按规定给予相关补贴。对超比例安排残疾人就业的用人单位给予奖励。</w:t>
      </w:r>
    </w:p>
    <w:p w14:paraId="4F882FA7">
      <w:pPr>
        <w:keepNext w:val="0"/>
        <w:keepLines w:val="0"/>
        <w:pageBreakBefore w:val="0"/>
        <w:kinsoku/>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14:textFill>
            <w14:solidFill>
              <w14:schemeClr w14:val="tx1"/>
            </w14:solidFill>
          </w14:textFill>
        </w:rPr>
        <w:t>2.提升残疾人就业创业能力。</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全面提升残疾人职业素养</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大力开展就业技能培训、全面加强岗位技能提升培训、着力开展创业创新培训</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培育残疾人特色培训品牌等。落实残疾人职业技能提升计划，帮助有就业意愿和培训需求的残疾人普遍得到相应的职业素质培训、就业技能培训、岗位技能培训和创业培训。建成1个示范性残疾人职业培训实训基地或创业孵化示范基地。</w:t>
      </w:r>
    </w:p>
    <w:p w14:paraId="1586E79B">
      <w:pPr>
        <w:keepNext w:val="0"/>
        <w:keepLines w:val="0"/>
        <w:pageBreakBefore w:val="0"/>
        <w:numPr>
          <w:ilvl w:val="0"/>
          <w:numId w:val="0"/>
        </w:numPr>
        <w:kinsoku/>
        <w:overflowPunct/>
        <w:topLinePunct w:val="0"/>
        <w:autoSpaceDE/>
        <w:autoSpaceDN/>
        <w:bidi w:val="0"/>
        <w:adjustRightInd/>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lang w:val="en-US" w:eastAsia="zh-CN"/>
          <w14:textFill>
            <w14:solidFill>
              <w14:schemeClr w14:val="tx1"/>
            </w14:solidFill>
          </w14:textFill>
        </w:rPr>
        <w:t>3.</w:t>
      </w:r>
      <w:r>
        <w:rPr>
          <w:rFonts w:hint="default" w:ascii="Times New Roman" w:hAnsi="Times New Roman" w:eastAsia="仿宋_GB2312" w:cs="Times New Roman"/>
          <w:b/>
          <w:color w:val="000000" w:themeColor="text1"/>
          <w:sz w:val="32"/>
          <w:szCs w:val="32"/>
          <w:highlight w:val="none"/>
          <w14:textFill>
            <w14:solidFill>
              <w14:schemeClr w14:val="tx1"/>
            </w14:solidFill>
          </w14:textFill>
        </w:rPr>
        <w:t>提高残疾人就业服务水平。</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健全残疾人就业服务体系，充分发挥残疾人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劳动</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就业服务</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所职能，</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为残疾人和用人单位提供全链条、专业化、精准化服务</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完善与</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各类公共就业服务平台、人力资源服务机构、社会组织</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的对接</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促进残疾人就业</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。健全残疾人就业和职业培训实名制信息统计管理系统，实现与公共就业服务信息平台对接和共享。为高校残疾人毕业生建立就业帮扶工作台账，按照</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一人一档</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一人一策</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要求重点帮扶。将符合条件的就业困难残疾人纳入就业援助范围，持续开展</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就业援助月</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专场招聘会</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等专项就业服务活动。</w:t>
      </w:r>
    </w:p>
    <w:p w14:paraId="2FDB80B3">
      <w:pPr>
        <w:keepNext w:val="0"/>
        <w:keepLines w:val="0"/>
        <w:pageBreakBefore w:val="0"/>
        <w:numPr>
          <w:ilvl w:val="0"/>
          <w:numId w:val="0"/>
        </w:numPr>
        <w:kinsoku/>
        <w:overflowPunct/>
        <w:topLinePunct w:val="0"/>
        <w:autoSpaceDE/>
        <w:autoSpaceDN/>
        <w:bidi w:val="0"/>
        <w:adjustRightInd/>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14:textFill>
            <w14:solidFill>
              <w14:schemeClr w14:val="tx1"/>
            </w14:solidFill>
          </w14:textFill>
        </w:rPr>
        <w:t>4.多渠道、多形式促进残疾人就业创业。</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开展残疾人就业促进专项行动，拓展残疾人就业创业渠道和形式。</w:t>
      </w:r>
      <w:r>
        <w:rPr>
          <w:rFonts w:hint="default" w:ascii="Times New Roman" w:hAnsi="Times New Roman" w:eastAsia="仿宋_GB2312" w:cs="Times New Roman"/>
          <w:color w:val="auto"/>
          <w:sz w:val="32"/>
          <w:szCs w:val="32"/>
          <w:highlight w:val="none"/>
        </w:rPr>
        <w:t>适度合理开发公益性岗位，对难以通过</w:t>
      </w:r>
      <w:r>
        <w:rPr>
          <w:rFonts w:hint="default" w:ascii="Times New Roman" w:hAnsi="Times New Roman" w:eastAsia="仿宋_GB2312" w:cs="Times New Roman"/>
          <w:color w:val="auto"/>
          <w:sz w:val="32"/>
          <w:szCs w:val="32"/>
          <w:highlight w:val="none"/>
          <w:lang w:eastAsia="zh-CN"/>
        </w:rPr>
        <w:t>市</w:t>
      </w:r>
      <w:r>
        <w:rPr>
          <w:rFonts w:hint="default" w:ascii="Times New Roman" w:hAnsi="Times New Roman" w:eastAsia="仿宋_GB2312" w:cs="Times New Roman"/>
          <w:color w:val="auto"/>
          <w:sz w:val="32"/>
          <w:szCs w:val="32"/>
          <w:highlight w:val="none"/>
        </w:rPr>
        <w:t>场渠道实现就业的困难残疾人进行托底安置。</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苏木乡镇、嘎查村设立的公益性岗位优先安排符合条件的残疾人或零就业残疾人家庭成员就业。稳定残疾人集中就业，支持非营利性残疾人集中就业机构持续发展。大力扶持残疾人自主创业、灵活就业。</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我旗</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至少创建2个示范性辅助就业机构，安置智力、精神和重度肢体残疾等就业困难残疾人从事相应的生产劳动。实施手工制作等残疾妇女就业创业项目</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大力发展盲人按摩行业。</w:t>
      </w:r>
    </w:p>
    <w:p w14:paraId="016AB194">
      <w:pPr>
        <w:keepNext w:val="0"/>
        <w:keepLines w:val="0"/>
        <w:pageBreakBefore w:val="0"/>
        <w:kinsoku/>
        <w:overflowPunct/>
        <w:topLinePunct w:val="0"/>
        <w:autoSpaceDE/>
        <w:autoSpaceDN/>
        <w:bidi w:val="0"/>
        <w:adjustRightInd/>
        <w:spacing w:line="560" w:lineRule="exact"/>
        <w:ind w:firstLine="640" w:firstLineChars="200"/>
        <w:jc w:val="both"/>
        <w:textAlignment w:val="auto"/>
        <w:outlineLvl w:val="1"/>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bookmarkStart w:id="8" w:name="_Toc17210"/>
      <w:r>
        <w:rPr>
          <w:rFonts w:hint="default" w:ascii="Times New Roman" w:hAnsi="Times New Roman" w:eastAsia="楷体_GB2312" w:cs="Times New Roman"/>
          <w:bCs/>
          <w:color w:val="000000" w:themeColor="text1"/>
          <w:sz w:val="32"/>
          <w:szCs w:val="32"/>
          <w:highlight w:val="none"/>
          <w14:textFill>
            <w14:solidFill>
              <w14:schemeClr w14:val="tx1"/>
            </w14:solidFill>
          </w14:textFill>
        </w:rPr>
        <w:t>（三）搞好精准化服务，提升残疾人康复水平</w:t>
      </w:r>
      <w:bookmarkEnd w:id="8"/>
    </w:p>
    <w:p w14:paraId="1CEB9982">
      <w:pPr>
        <w:keepNext w:val="0"/>
        <w:keepLines w:val="0"/>
        <w:pageBreakBefore w:val="0"/>
        <w:kinsoku/>
        <w:overflowPunct/>
        <w:topLinePunct w:val="0"/>
        <w:autoSpaceDE/>
        <w:autoSpaceDN/>
        <w:bidi w:val="0"/>
        <w:adjustRightInd/>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14:textFill>
            <w14:solidFill>
              <w14:schemeClr w14:val="tx1"/>
            </w14:solidFill>
          </w14:textFill>
        </w:rPr>
        <w:t>1.完善残疾人康复服务体系。</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构建以残疾人康复中心为主导、综合医院为依托、基层医疗卫生机构为基础的残疾人康复服务网络。积极</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完善</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巴林左旗</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残疾人康复托养中心建设</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充分发挥职能作用，为残疾人提供高质量康复服务。综合医院设立康复科、苏木乡镇卫生院及社区卫生服务中心设立康复室，逐步充实职业康复、社会康复、心理康复等功能，为残疾人提供精准化的康复服务。发挥中医药（蒙医药）在康复中的独特优势，推进康复服务高质量发展。</w:t>
      </w:r>
    </w:p>
    <w:p w14:paraId="6DC4FFB5">
      <w:pPr>
        <w:keepNext w:val="0"/>
        <w:keepLines w:val="0"/>
        <w:pageBreakBefore w:val="0"/>
        <w:kinsoku/>
        <w:overflowPunct/>
        <w:topLinePunct w:val="0"/>
        <w:autoSpaceDE/>
        <w:autoSpaceDN/>
        <w:bidi w:val="0"/>
        <w:adjustRightInd/>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14:textFill>
            <w14:solidFill>
              <w14:schemeClr w14:val="tx1"/>
            </w14:solidFill>
          </w14:textFill>
        </w:rPr>
        <w:t>2.实施精准康复服务行动。</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落实《</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赤峰市</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残疾人精准康复服务行动实施方案》，为残疾人提供康复医疗、康复训练、辅助器具适</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配、</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支持性服务，满足残疾人基本康复服务需求，有康复需求的持证残疾人康复服务率达到92%以上，提高受助残疾人生活自理和社会活动参与能力。落实《残疾人社区康复工作标准》，开展残疾人社区康复。推进残疾人家庭医生签约服务，符合条件的持证残疾人家庭医生签约服务率达到100%，做到</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一人一案</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。开展残疾人康复专业技术人员规范化培训，将康复服务知识纳入家庭医生规范化培训内容。</w:t>
      </w:r>
    </w:p>
    <w:p w14:paraId="1A5041E4">
      <w:pPr>
        <w:keepNext w:val="0"/>
        <w:keepLines w:val="0"/>
        <w:pageBreakBefore w:val="0"/>
        <w:kinsoku/>
        <w:overflowPunct/>
        <w:topLinePunct w:val="0"/>
        <w:autoSpaceDE/>
        <w:autoSpaceDN/>
        <w:bidi w:val="0"/>
        <w:adjustRightInd/>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14:textFill>
            <w14:solidFill>
              <w14:schemeClr w14:val="tx1"/>
            </w14:solidFill>
          </w14:textFill>
        </w:rPr>
        <w:t>3.深入开展残疾儿童康复救助。</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落实《内蒙古自治区人民政府关于建立残疾儿童康复救助制度的实施意见》</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内政发〔2018〕45号</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要求</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，对0-7岁残疾儿童实施康复救助，残疾儿童普遍享有基本康复服务，通过康复服务改善残疾儿童功能状况，增强其自理能力和社会参与能力。</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适当</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扩大残疾儿童救助年龄范围，提高救助标准，放宽对残疾儿童家庭经济条件的限制，拓展康复服务项目，扩大残疾儿童康复覆盖面。提升残疾儿童康复机构规范化水平，鼓励医疗卫生机构、特教学校开展康复服务，探索</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医疗+康复+教育</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服务体系，延伸服务链条</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p>
    <w:p w14:paraId="5FE954C6">
      <w:pPr>
        <w:keepNext w:val="0"/>
        <w:keepLines w:val="0"/>
        <w:pageBreakBefore w:val="0"/>
        <w:kinsoku/>
        <w:overflowPunct/>
        <w:topLinePunct w:val="0"/>
        <w:autoSpaceDE/>
        <w:autoSpaceDN/>
        <w:bidi w:val="0"/>
        <w:adjustRightInd/>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14:textFill>
            <w14:solidFill>
              <w14:schemeClr w14:val="tx1"/>
            </w14:solidFill>
          </w14:textFill>
        </w:rPr>
        <w:t>4.强化残疾预防工作。</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落实《内蒙古自治区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人民政府办公厅关于印发〈内蒙古自治区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残疾预防和残疾人康复办法</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〉的通知</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内政办发〔2020〕21号</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要求</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加强残疾预防部门分工协作，联动联防，全面提升残疾风险综合防控能力，有效降低残疾发生率。探索建立儿童残疾筛查、诊断治疗和康复服务的信息共享和联动机制，大力推动早期诊断和早期康复。实施视力低下、心理抑郁健康干预。广泛开展残疾预防宣传教育，增强全社会残疾预防意识。</w:t>
      </w:r>
    </w:p>
    <w:p w14:paraId="6385B0B0">
      <w:pPr>
        <w:keepNext w:val="0"/>
        <w:keepLines w:val="0"/>
        <w:pageBreakBefore w:val="0"/>
        <w:kinsoku/>
        <w:overflowPunct/>
        <w:topLinePunct w:val="0"/>
        <w:autoSpaceDE/>
        <w:autoSpaceDN/>
        <w:bidi w:val="0"/>
        <w:adjustRightInd/>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14:textFill>
            <w14:solidFill>
              <w14:schemeClr w14:val="tx1"/>
            </w14:solidFill>
          </w14:textFill>
        </w:rPr>
        <w:t>5.优化辅助器具服务水平。</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根据残疾人康复需求，确保基本型辅助器具适配服务率达到9</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%以上、残疾人满意率保持在90%以上。推广普及安全适用的基本型康复辅助器具，鼓励实施公益性康复辅助器具适配项目，支持社会力量及医疗、托养机构开展康复辅助器具适配服务。</w:t>
      </w:r>
    </w:p>
    <w:p w14:paraId="7ADAFF57">
      <w:pPr>
        <w:keepNext w:val="0"/>
        <w:keepLines w:val="0"/>
        <w:pageBreakBefore w:val="0"/>
        <w:kinsoku/>
        <w:overflowPunct/>
        <w:topLinePunct w:val="0"/>
        <w:autoSpaceDE/>
        <w:autoSpaceDN/>
        <w:bidi w:val="0"/>
        <w:adjustRightInd/>
        <w:spacing w:line="560" w:lineRule="exact"/>
        <w:ind w:firstLine="640" w:firstLineChars="200"/>
        <w:jc w:val="both"/>
        <w:textAlignment w:val="auto"/>
        <w:outlineLvl w:val="1"/>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bookmarkStart w:id="9" w:name="_Toc21074"/>
      <w:r>
        <w:rPr>
          <w:rFonts w:hint="default" w:ascii="Times New Roman" w:hAnsi="Times New Roman" w:eastAsia="楷体_GB2312" w:cs="Times New Roman"/>
          <w:bCs/>
          <w:color w:val="000000" w:themeColor="text1"/>
          <w:sz w:val="32"/>
          <w:szCs w:val="32"/>
          <w:highlight w:val="none"/>
          <w14:textFill>
            <w14:solidFill>
              <w14:schemeClr w14:val="tx1"/>
            </w14:solidFill>
          </w14:textFill>
        </w:rPr>
        <w:t>（四）点面结合，链式推进，营造良好的无障碍社会环境</w:t>
      </w:r>
      <w:bookmarkEnd w:id="9"/>
    </w:p>
    <w:p w14:paraId="026BDF97">
      <w:pPr>
        <w:keepNext w:val="0"/>
        <w:keepLines w:val="0"/>
        <w:pageBreakBefore w:val="0"/>
        <w:kinsoku/>
        <w:overflowPunct/>
        <w:topLinePunct w:val="0"/>
        <w:autoSpaceDE/>
        <w:autoSpaceDN/>
        <w:bidi w:val="0"/>
        <w:adjustRightInd/>
        <w:snapToGrid w:val="0"/>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14:textFill>
            <w14:solidFill>
              <w14:schemeClr w14:val="tx1"/>
            </w14:solidFill>
          </w14:textFill>
        </w:rPr>
        <w:t>1.完善无障碍环境建设体系。</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全面实施《内蒙古自治区无障碍环境建设办法》，加强无障碍环境建设管理体制建设，建立健全综合协调机制，落实无障碍设施建设与主体工程同步规划、同步设计、同步施工、同步验收投入使用的</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四同步</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制度，确保新建、改建、扩建无障碍设施符合有关标准。在</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老旧小区改造</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乡村振兴中推进无障碍设施建设和改造</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全面提升无障碍建设及服务水平</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p>
    <w:p w14:paraId="4373A361">
      <w:pPr>
        <w:keepNext w:val="0"/>
        <w:keepLines w:val="0"/>
        <w:pageBreakBefore w:val="0"/>
        <w:kinsoku/>
        <w:overflowPunct/>
        <w:topLinePunct w:val="0"/>
        <w:autoSpaceDE/>
        <w:autoSpaceDN/>
        <w:bidi w:val="0"/>
        <w:adjustRightInd/>
        <w:snapToGrid w:val="0"/>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14:textFill>
            <w14:solidFill>
              <w14:schemeClr w14:val="tx1"/>
            </w14:solidFill>
          </w14:textFill>
        </w:rPr>
        <w:t>2.提高残疾人生活无障碍品质。</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严格执行《无障碍设计规范》和《家庭无障碍建设指南》等要求，组织实施困难重度残疾人家庭无障碍改造。根据残疾人状况和个性化需求及家庭的实际情况，科学合理确定无障碍改造内容和配发无障碍辅具有效衔接。完成残疾人家庭无障碍改造</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00户，确保困难重度残疾人家庭无障碍改造全覆盖。</w:t>
      </w:r>
    </w:p>
    <w:p w14:paraId="2BB4CB99">
      <w:pPr>
        <w:keepNext w:val="0"/>
        <w:keepLines w:val="0"/>
        <w:pageBreakBefore w:val="0"/>
        <w:kinsoku/>
        <w:overflowPunct/>
        <w:topLinePunct w:val="0"/>
        <w:autoSpaceDE/>
        <w:autoSpaceDN/>
        <w:bidi w:val="0"/>
        <w:adjustRightInd/>
        <w:spacing w:line="560" w:lineRule="exact"/>
        <w:ind w:firstLine="640" w:firstLineChars="200"/>
        <w:jc w:val="both"/>
        <w:textAlignment w:val="auto"/>
        <w:outlineLvl w:val="1"/>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bookmarkStart w:id="10" w:name="_Toc25415"/>
      <w:r>
        <w:rPr>
          <w:rFonts w:hint="default" w:ascii="Times New Roman" w:hAnsi="Times New Roman" w:eastAsia="楷体_GB2312" w:cs="Times New Roman"/>
          <w:bCs/>
          <w:color w:val="000000" w:themeColor="text1"/>
          <w:sz w:val="32"/>
          <w:szCs w:val="32"/>
          <w:highlight w:val="none"/>
          <w14:textFill>
            <w14:solidFill>
              <w14:schemeClr w14:val="tx1"/>
            </w14:solidFill>
          </w14:textFill>
        </w:rPr>
        <w:t>（五）提升公共服务水平，努力实现共建共享</w:t>
      </w:r>
      <w:bookmarkEnd w:id="10"/>
    </w:p>
    <w:p w14:paraId="397D8AF0">
      <w:pPr>
        <w:keepNext w:val="0"/>
        <w:keepLines w:val="0"/>
        <w:pageBreakBefore w:val="0"/>
        <w:kinsoku/>
        <w:overflowPunct/>
        <w:topLinePunct w:val="0"/>
        <w:autoSpaceDE/>
        <w:autoSpaceDN/>
        <w:bidi w:val="0"/>
        <w:adjustRightInd/>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14:textFill>
            <w14:solidFill>
              <w14:schemeClr w14:val="tx1"/>
            </w14:solidFill>
          </w14:textFill>
        </w:rPr>
        <w:t>1.完善残疾人教育保障机制。</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全面落实《</w:t>
      </w:r>
      <w:bookmarkStart w:id="14" w:name="_GoBack"/>
      <w:bookmarkEnd w:id="14"/>
      <w:r>
        <w:rPr>
          <w:rFonts w:hint="default" w:ascii="Times New Roman" w:hAnsi="Times New Roman" w:eastAsia="仿宋_GB2312" w:cs="Times New Roman"/>
          <w:color w:val="000000" w:themeColor="text1"/>
          <w:sz w:val="32"/>
          <w:szCs w:val="32"/>
          <w:highlight w:val="none"/>
          <w14:textFill>
            <w14:solidFill>
              <w14:schemeClr w14:val="tx1"/>
            </w14:solidFill>
          </w14:textFill>
        </w:rPr>
        <w:t>残疾人教育条例》规定，普遍做好适龄残疾儿童少年人口数据采集工作，建立教育部门、残联数据共享与业务协同机制。加快发展医、康、教融合残疾儿童学前教育，提高适龄残疾儿童少年义务教育普及水平和巩固率，残疾儿童义务教育入学率达到97%。</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一人一案</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开展适龄残疾儿童少年教育需求评估，采取多种形式开展残疾儿童就学安置。健全送教上门机制，积极推进融合教育，优化残疾儿童少年随班就读支持保障体系。严格落实教育部、中国残联《残疾人参加普通高等学校招生全国统一考试管理规定》，为残疾考生参加高考提供支持条件和合理便利。继续落实残疾大学新生入学资助政策，为残疾学生提供辅具、特殊学习用品、康复训练和无障碍支持服务。持续改善特殊教育办学条件，加强特殊教育师资队伍建设，强化教学质量监测评估。加强手语、盲文规范化工作，推广国家通用手语和国家通用盲文。</w:t>
      </w:r>
    </w:p>
    <w:p w14:paraId="3EC611AF">
      <w:pPr>
        <w:keepNext w:val="0"/>
        <w:keepLines w:val="0"/>
        <w:pageBreakBefore w:val="0"/>
        <w:kinsoku/>
        <w:overflowPunct/>
        <w:topLinePunct w:val="0"/>
        <w:autoSpaceDE/>
        <w:autoSpaceDN/>
        <w:bidi w:val="0"/>
        <w:adjustRightInd/>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bCs/>
          <w:color w:val="000000" w:themeColor="text1"/>
          <w:sz w:val="32"/>
          <w:szCs w:val="32"/>
          <w:highlight w:val="none"/>
          <w14:textFill>
            <w14:solidFill>
              <w14:schemeClr w14:val="tx1"/>
            </w14:solidFill>
          </w14:textFill>
        </w:rPr>
        <w:t>2.</w:t>
      </w:r>
      <w:r>
        <w:rPr>
          <w:rFonts w:hint="default" w:ascii="Times New Roman" w:hAnsi="Times New Roman" w:eastAsia="仿宋_GB2312" w:cs="Times New Roman"/>
          <w:b/>
          <w:color w:val="000000" w:themeColor="text1"/>
          <w:sz w:val="32"/>
          <w:szCs w:val="32"/>
          <w:highlight w:val="none"/>
          <w14:textFill>
            <w14:solidFill>
              <w14:schemeClr w14:val="tx1"/>
            </w14:solidFill>
          </w14:textFill>
        </w:rPr>
        <w:t>优化残疾人公共文体服务。</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将残疾人文化体育融入公共文化体育惠民工程、项目建设和各类文化体育服务内容，促进残疾人特殊文化艺术和康复健身体育发展。做好旗图书馆盲人阅览区配备盲文图书、阅读设备</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工作</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符合条件的</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基层残疾人综合服务场所建设配备体育设施，打造残疾人自强建设示范点。开展重度残疾人文化进社区、进家庭</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五个一</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活动。积极支持参与</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各级</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残疾人文体活动</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鼓励支持社会力量参与残疾人文化体育赛事活动。积极争取并支持自治区残疾人体育事业项目。精筛细选运动员，参加自治区</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第六届残疾人运动会暨特奥会</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p>
    <w:p w14:paraId="5CE64B2F">
      <w:pPr>
        <w:keepNext w:val="0"/>
        <w:keepLines w:val="0"/>
        <w:pageBreakBefore w:val="0"/>
        <w:kinsoku/>
        <w:overflowPunct/>
        <w:topLinePunct w:val="0"/>
        <w:autoSpaceDE/>
        <w:autoSpaceDN/>
        <w:bidi w:val="0"/>
        <w:adjustRightInd/>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lang w:val="en-US" w:eastAsia="zh-CN"/>
          <w14:textFill>
            <w14:solidFill>
              <w14:schemeClr w14:val="tx1"/>
            </w14:solidFill>
          </w14:textFill>
        </w:rPr>
        <w:t>3</w:t>
      </w:r>
      <w:r>
        <w:rPr>
          <w:rFonts w:hint="default" w:ascii="Times New Roman" w:hAnsi="Times New Roman" w:eastAsia="仿宋_GB2312" w:cs="Times New Roman"/>
          <w:b/>
          <w:color w:val="000000" w:themeColor="text1"/>
          <w:sz w:val="32"/>
          <w:szCs w:val="32"/>
          <w:highlight w:val="none"/>
          <w14:textFill>
            <w14:solidFill>
              <w14:schemeClr w14:val="tx1"/>
            </w14:solidFill>
          </w14:textFill>
        </w:rPr>
        <w:t>.营造扶残助残的浓厚社会氛围。</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大力弘扬人道主义精神和</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平等参与、融合共享</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文明理念，大力传播残疾人自强奋斗精神和全社会扶残助残风尚。在国际残疾人日、全国助残日期间开展助残宣传活动，营造残疾人事业发展良好社会氛围。大力发展残疾人慈善事业，提升助残志愿服务能力，吸引更多社会力量参与康复护理、教育就业、托养庇护等助残服务。开展</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阳光助残</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行动等助残志愿服务活动。</w:t>
      </w:r>
    </w:p>
    <w:p w14:paraId="6D88746A">
      <w:pPr>
        <w:keepNext w:val="0"/>
        <w:keepLines w:val="0"/>
        <w:pageBreakBefore w:val="0"/>
        <w:kinsoku/>
        <w:overflowPunct/>
        <w:topLinePunct w:val="0"/>
        <w:autoSpaceDE/>
        <w:autoSpaceDN/>
        <w:bidi w:val="0"/>
        <w:adjustRightInd/>
        <w:spacing w:line="560" w:lineRule="exact"/>
        <w:ind w:firstLine="640" w:firstLineChars="200"/>
        <w:jc w:val="both"/>
        <w:textAlignment w:val="auto"/>
        <w:outlineLvl w:val="1"/>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bookmarkStart w:id="11" w:name="_Toc25377"/>
      <w:r>
        <w:rPr>
          <w:rFonts w:hint="default" w:ascii="Times New Roman" w:hAnsi="Times New Roman" w:eastAsia="楷体_GB2312" w:cs="Times New Roman"/>
          <w:bCs/>
          <w:color w:val="000000" w:themeColor="text1"/>
          <w:sz w:val="32"/>
          <w:szCs w:val="32"/>
          <w:highlight w:val="none"/>
          <w14:textFill>
            <w14:solidFill>
              <w14:schemeClr w14:val="tx1"/>
            </w14:solidFill>
          </w14:textFill>
        </w:rPr>
        <w:t>（六）强化组织体系建设，夯实工作基础</w:t>
      </w:r>
      <w:bookmarkEnd w:id="11"/>
    </w:p>
    <w:p w14:paraId="1C8E5CB6">
      <w:pPr>
        <w:keepNext w:val="0"/>
        <w:keepLines w:val="0"/>
        <w:pageBreakBefore w:val="0"/>
        <w:kinsoku/>
        <w:overflowPunct/>
        <w:topLinePunct w:val="0"/>
        <w:autoSpaceDE/>
        <w:autoSpaceDN/>
        <w:bidi w:val="0"/>
        <w:adjustRightInd/>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14:textFill>
            <w14:solidFill>
              <w14:schemeClr w14:val="tx1"/>
            </w14:solidFill>
          </w14:textFill>
        </w:rPr>
        <w:t>1.加强残疾人组织建设。</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落实全面从严治党主体责任，深入推进党风廉政建设，以党建引领残联建设，充分履行残联代表服务、管理职能，增强政治性、先进性、群众性。深化</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三服务</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，推进残联组织重心下沉、服务前移。完善残疾人工作评价机制，不断提升残疾人及其亲友的满意程度。强化残联系统治理体系和治理能力建设。</w:t>
      </w:r>
    </w:p>
    <w:p w14:paraId="51468C2A">
      <w:pPr>
        <w:keepNext w:val="0"/>
        <w:keepLines w:val="0"/>
        <w:pageBreakBefore w:val="0"/>
        <w:kinsoku/>
        <w:overflowPunct/>
        <w:topLinePunct w:val="0"/>
        <w:autoSpaceDE/>
        <w:autoSpaceDN/>
        <w:bidi w:val="0"/>
        <w:adjustRightInd/>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14:textFill>
            <w14:solidFill>
              <w14:schemeClr w14:val="tx1"/>
            </w14:solidFill>
          </w14:textFill>
        </w:rPr>
        <w:t>2.强化残疾人工作者队伍</w:t>
      </w:r>
      <w:r>
        <w:rPr>
          <w:rFonts w:hint="default" w:ascii="Times New Roman" w:hAnsi="Times New Roman" w:eastAsia="仿宋_GB2312" w:cs="Times New Roman"/>
          <w:b/>
          <w:color w:val="000000" w:themeColor="text1"/>
          <w:sz w:val="32"/>
          <w:szCs w:val="32"/>
          <w:highlight w:val="none"/>
          <w:lang w:val="en-US" w:eastAsia="zh-CN"/>
          <w14:textFill>
            <w14:solidFill>
              <w14:schemeClr w14:val="tx1"/>
            </w14:solidFill>
          </w14:textFill>
        </w:rPr>
        <w:t>和</w:t>
      </w:r>
      <w:r>
        <w:rPr>
          <w:rFonts w:hint="default" w:ascii="Times New Roman" w:hAnsi="Times New Roman" w:eastAsia="仿宋_GB2312" w:cs="Times New Roman"/>
          <w:b/>
          <w:color w:val="000000" w:themeColor="text1"/>
          <w:sz w:val="32"/>
          <w:szCs w:val="32"/>
          <w:highlight w:val="none"/>
          <w14:textFill>
            <w14:solidFill>
              <w14:schemeClr w14:val="tx1"/>
            </w14:solidFill>
          </w14:textFill>
        </w:rPr>
        <w:t>专门协会建设。</w:t>
      </w:r>
      <w:r>
        <w:rPr>
          <w:rFonts w:hint="default" w:ascii="Times New Roman" w:hAnsi="Times New Roman" w:eastAsia="仿宋_GB2312" w:cs="Times New Roman"/>
          <w:b w:val="0"/>
          <w:bCs/>
          <w:color w:val="000000" w:themeColor="text1"/>
          <w:sz w:val="32"/>
          <w:szCs w:val="32"/>
          <w:highlight w:val="none"/>
          <w:lang w:val="en-US" w:eastAsia="zh-CN"/>
          <w14:textFill>
            <w14:solidFill>
              <w14:schemeClr w14:val="tx1"/>
            </w14:solidFill>
          </w14:textFill>
        </w:rPr>
        <w:t>配强</w:t>
      </w:r>
      <w:r>
        <w:rPr>
          <w:rFonts w:hint="default" w:ascii="Times New Roman" w:hAnsi="Times New Roman" w:eastAsia="仿宋_GB2312" w:cs="Times New Roman"/>
          <w:b w:val="0"/>
          <w:bCs/>
          <w:color w:val="000000" w:themeColor="text1"/>
          <w:sz w:val="32"/>
          <w:szCs w:val="32"/>
          <w:highlight w:val="none"/>
          <w14:textFill>
            <w14:solidFill>
              <w14:schemeClr w14:val="tx1"/>
            </w14:solidFill>
          </w14:textFill>
        </w:rPr>
        <w:t>旗</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残联领导班子，配</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齐</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苏木乡镇（街道）残联理事长，配好</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嘎查村（社区）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残疾人工作专职委员，苏木乡镇（街道）残联理事长配备率100%、</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嘎查村（社区）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残疾人工作专职委员配备率100%。健全完善旗残联专门协会组织，建成率达100%，发挥专门协会</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代表、服务、维权、监督</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作用。</w:t>
      </w:r>
    </w:p>
    <w:p w14:paraId="7B7D780A">
      <w:pPr>
        <w:pStyle w:val="2"/>
        <w:keepNext w:val="0"/>
        <w:keepLines w:val="0"/>
        <w:pageBreakBefore w:val="0"/>
        <w:kinsoku/>
        <w:overflowPunct/>
        <w:topLinePunct w:val="0"/>
        <w:autoSpaceDE/>
        <w:autoSpaceDN/>
        <w:bidi w:val="0"/>
        <w:adjustRightInd/>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lang w:val="en-US" w:eastAsia="zh-CN"/>
          <w14:textFill>
            <w14:solidFill>
              <w14:schemeClr w14:val="tx1"/>
            </w14:solidFill>
          </w14:textFill>
        </w:rPr>
        <w:t>3</w:t>
      </w:r>
      <w:r>
        <w:rPr>
          <w:rFonts w:hint="default" w:ascii="Times New Roman" w:hAnsi="Times New Roman" w:eastAsia="仿宋_GB2312" w:cs="Times New Roman"/>
          <w:b/>
          <w:color w:val="000000" w:themeColor="text1"/>
          <w:sz w:val="32"/>
          <w:szCs w:val="32"/>
          <w:highlight w:val="none"/>
          <w14:textFill>
            <w14:solidFill>
              <w14:schemeClr w14:val="tx1"/>
            </w14:solidFill>
          </w14:textFill>
        </w:rPr>
        <w:t>.推进残疾人事业信息化发展</w:t>
      </w:r>
      <w:r>
        <w:rPr>
          <w:rFonts w:hint="default" w:ascii="Times New Roman" w:hAnsi="Times New Roman" w:eastAsia="仿宋_GB2312" w:cs="Times New Roman"/>
          <w:b/>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精准掌握残疾人基本状况信息，为残疾人事业发展提供数据支撑。推进残疾人证逐步加载社会服务功能，</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协调做好</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残疾人证跨省通办服务工作，推进残疾人证电子证照工作开展。</w:t>
      </w:r>
      <w:r>
        <w:rPr>
          <w:rFonts w:hint="default" w:ascii="Times New Roman" w:hAnsi="Times New Roman" w:eastAsia="仿宋_GB2312" w:cs="Times New Roman"/>
          <w:color w:val="auto"/>
          <w:sz w:val="32"/>
          <w:szCs w:val="32"/>
          <w:highlight w:val="none"/>
        </w:rPr>
        <w:t>实施残疾人证办理、残疾人就业情况联网认证等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跨省通办</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逐步向全领域助残服务事项延伸。推动助残服务向</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网上办</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掌上办</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码上办</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转变。</w:t>
      </w:r>
    </w:p>
    <w:p w14:paraId="27322F34">
      <w:pPr>
        <w:keepNext w:val="0"/>
        <w:keepLines w:val="0"/>
        <w:pageBreakBefore w:val="0"/>
        <w:kinsoku/>
        <w:overflowPunct/>
        <w:topLinePunct w:val="0"/>
        <w:autoSpaceDE/>
        <w:autoSpaceDN/>
        <w:bidi w:val="0"/>
        <w:adjustRightInd/>
        <w:spacing w:line="560" w:lineRule="exact"/>
        <w:ind w:firstLine="640" w:firstLineChars="200"/>
        <w:jc w:val="both"/>
        <w:textAlignment w:val="auto"/>
        <w:outlineLvl w:val="1"/>
        <w:rPr>
          <w:rFonts w:hint="default" w:ascii="Times New Roman" w:hAnsi="Times New Roman" w:eastAsia="楷体_GB2312" w:cs="Times New Roman"/>
          <w:bCs/>
          <w:color w:val="000000" w:themeColor="text1"/>
          <w:sz w:val="32"/>
          <w:szCs w:val="32"/>
          <w:highlight w:val="none"/>
          <w14:textFill>
            <w14:solidFill>
              <w14:schemeClr w14:val="tx1"/>
            </w14:solidFill>
          </w14:textFill>
        </w:rPr>
      </w:pPr>
      <w:bookmarkStart w:id="12" w:name="_Toc17171"/>
      <w:r>
        <w:rPr>
          <w:rFonts w:hint="default" w:ascii="Times New Roman" w:hAnsi="Times New Roman" w:eastAsia="楷体_GB2312" w:cs="Times New Roman"/>
          <w:bCs/>
          <w:color w:val="000000" w:themeColor="text1"/>
          <w:sz w:val="32"/>
          <w:szCs w:val="32"/>
          <w:highlight w:val="none"/>
          <w14:textFill>
            <w14:solidFill>
              <w14:schemeClr w14:val="tx1"/>
            </w14:solidFill>
          </w14:textFill>
        </w:rPr>
        <w:t>（七）法</w:t>
      </w:r>
      <w:r>
        <w:rPr>
          <w:rFonts w:hint="eastAsia" w:ascii="Times New Roman" w:hAnsi="Times New Roman" w:eastAsia="楷体_GB2312" w:cs="Times New Roman"/>
          <w:bCs/>
          <w:color w:val="000000" w:themeColor="text1"/>
          <w:sz w:val="32"/>
          <w:szCs w:val="32"/>
          <w:highlight w:val="none"/>
          <w:lang w:eastAsia="zh-CN"/>
          <w14:textFill>
            <w14:solidFill>
              <w14:schemeClr w14:val="tx1"/>
            </w14:solidFill>
          </w14:textFill>
        </w:rPr>
        <w:t>治</w:t>
      </w:r>
      <w:r>
        <w:rPr>
          <w:rFonts w:hint="default" w:ascii="Times New Roman" w:hAnsi="Times New Roman" w:eastAsia="楷体_GB2312" w:cs="Times New Roman"/>
          <w:bCs/>
          <w:color w:val="000000" w:themeColor="text1"/>
          <w:sz w:val="32"/>
          <w:szCs w:val="32"/>
          <w:highlight w:val="none"/>
          <w14:textFill>
            <w14:solidFill>
              <w14:schemeClr w14:val="tx1"/>
            </w14:solidFill>
          </w14:textFill>
        </w:rPr>
        <w:t>为先，权利为本，畅通残疾人权益保护通道</w:t>
      </w:r>
      <w:bookmarkEnd w:id="12"/>
    </w:p>
    <w:p w14:paraId="214EE942">
      <w:pPr>
        <w:keepNext w:val="0"/>
        <w:keepLines w:val="0"/>
        <w:pageBreakBefore w:val="0"/>
        <w:kinsoku/>
        <w:overflowPunct/>
        <w:topLinePunct w:val="0"/>
        <w:autoSpaceDE/>
        <w:autoSpaceDN/>
        <w:bidi w:val="0"/>
        <w:adjustRightInd/>
        <w:snapToGrid w:val="0"/>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14:textFill>
            <w14:solidFill>
              <w14:schemeClr w14:val="tx1"/>
            </w14:solidFill>
          </w14:textFill>
        </w:rPr>
        <w:t>1.加大残疾人权益保障</w:t>
      </w:r>
      <w:r>
        <w:rPr>
          <w:rFonts w:hint="default" w:ascii="Times New Roman" w:hAnsi="Times New Roman" w:eastAsia="仿宋_GB2312" w:cs="Times New Roman"/>
          <w:b/>
          <w:color w:val="000000" w:themeColor="text1"/>
          <w:sz w:val="32"/>
          <w:szCs w:val="32"/>
          <w:highlight w:val="none"/>
          <w:lang w:val="en-US" w:eastAsia="zh-CN"/>
          <w14:textFill>
            <w14:solidFill>
              <w14:schemeClr w14:val="tx1"/>
            </w14:solidFill>
          </w14:textFill>
        </w:rPr>
        <w:t>力度</w:t>
      </w:r>
      <w:r>
        <w:rPr>
          <w:rFonts w:hint="default" w:ascii="Times New Roman" w:hAnsi="Times New Roman" w:eastAsia="仿宋_GB2312" w:cs="Times New Roman"/>
          <w:b/>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落实《</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中华人民共和国</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宪法》、《</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中华人民共和国</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民法典》、《</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中华人民共和国</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残疾人保障法》等法律法规关于保障残疾人权益的规定，促进残疾人保障法等法律法规的有效实施。广泛开展残疾人法律</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六进</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等形式多样的普法宣传活动</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继续开展残疾人学法用法专项行动，促进残疾人知法懂法守法用法。</w:t>
      </w:r>
      <w:bookmarkStart w:id="13" w:name="_Toc23978"/>
    </w:p>
    <w:p w14:paraId="4C665B8E">
      <w:pPr>
        <w:keepNext w:val="0"/>
        <w:keepLines w:val="0"/>
        <w:pageBreakBefore w:val="0"/>
        <w:kinsoku/>
        <w:overflowPunct/>
        <w:topLinePunct w:val="0"/>
        <w:autoSpaceDE/>
        <w:autoSpaceDN/>
        <w:bidi w:val="0"/>
        <w:adjustRightInd/>
        <w:snapToGrid w:val="0"/>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14:textFill>
            <w14:solidFill>
              <w14:schemeClr w14:val="tx1"/>
            </w14:solidFill>
          </w14:textFill>
        </w:rPr>
        <w:t>2.加强残疾人法律服务和权益维护。</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加强残疾人司法救助，坚决打击侵犯残疾人合法权益的违法犯罪行为。加大矛盾纠纷排查化解力度，强化属地管理，把涉及残疾人的各类矛盾化解在基层、解决在当地。</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充分发挥残疾人法律援助站工作能力，</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提升残疾人法律援助质量。加强与</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司法局、</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法院、检察院、工会、共青团、妇联等部门的横向联系，进一步整合法律救助资源，加强对残疾人司法保护。加强残疾人信访工作，</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落实</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残疾人探访探视</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制度，</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及时处置化解残疾人网上信访事项</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切实维护残疾人权益和社会稳定。</w:t>
      </w:r>
    </w:p>
    <w:p w14:paraId="69C0ED5C">
      <w:pPr>
        <w:keepNext w:val="0"/>
        <w:keepLines w:val="0"/>
        <w:pageBreakBefore w:val="0"/>
        <w:kinsoku/>
        <w:overflowPunct/>
        <w:topLinePunct w:val="0"/>
        <w:autoSpaceDE/>
        <w:autoSpaceDN/>
        <w:bidi w:val="0"/>
        <w:adjustRightInd/>
        <w:spacing w:line="560" w:lineRule="exact"/>
        <w:ind w:firstLine="640" w:firstLineChars="200"/>
        <w:jc w:val="both"/>
        <w:textAlignment w:val="auto"/>
        <w:outlineLvl w:val="0"/>
        <w:rPr>
          <w:rFonts w:hint="default" w:ascii="Times New Roman" w:hAnsi="Times New Roman" w:eastAsia="黑体" w:cs="Times New Roman"/>
          <w:b w:val="0"/>
          <w:bCs w:val="0"/>
          <w:color w:val="000000" w:themeColor="text1"/>
          <w:sz w:val="32"/>
          <w:szCs w:val="32"/>
          <w:highlight w:val="none"/>
          <w14:textFill>
            <w14:solidFill>
              <w14:schemeClr w14:val="tx1"/>
            </w14:solidFill>
          </w14:textFill>
        </w:rPr>
      </w:pPr>
      <w:r>
        <w:rPr>
          <w:rFonts w:hint="default" w:ascii="Times New Roman" w:hAnsi="Times New Roman" w:eastAsia="黑体" w:cs="Times New Roman"/>
          <w:b w:val="0"/>
          <w:bCs w:val="0"/>
          <w:color w:val="000000" w:themeColor="text1"/>
          <w:sz w:val="32"/>
          <w:szCs w:val="32"/>
          <w:highlight w:val="none"/>
          <w14:textFill>
            <w14:solidFill>
              <w14:schemeClr w14:val="tx1"/>
            </w14:solidFill>
          </w14:textFill>
        </w:rPr>
        <w:t>四、组织管理与规划实施</w:t>
      </w:r>
      <w:bookmarkEnd w:id="13"/>
    </w:p>
    <w:p w14:paraId="77086023">
      <w:pPr>
        <w:keepNext w:val="0"/>
        <w:keepLines w:val="0"/>
        <w:pageBreakBefore w:val="0"/>
        <w:kinsoku/>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楷体_GB2312" w:cs="Times New Roman"/>
          <w:bCs/>
          <w:color w:val="000000" w:themeColor="text1"/>
          <w:sz w:val="32"/>
          <w:szCs w:val="32"/>
          <w:highlight w:val="none"/>
          <w14:textFill>
            <w14:solidFill>
              <w14:schemeClr w14:val="tx1"/>
            </w14:solidFill>
          </w14:textFill>
        </w:rPr>
        <w:t>（一）加强党的领导和组织管理。</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充分发挥党组织在残疾人事业发展中的核心引领和坚强保障作用，进一步增强责任感和紧迫感。进一步完善残疾人工作委员会工作机制，发挥牵头作用，密切配合，形成合力，促进残疾人事业与全</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旗</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经济社会协调发展。把残疾人工作纳入网格化社会治理体系，不断提升残疾人服务的精准度、覆盖率和质量。</w:t>
      </w:r>
    </w:p>
    <w:p w14:paraId="75F2967A">
      <w:pPr>
        <w:keepNext w:val="0"/>
        <w:keepLines w:val="0"/>
        <w:pageBreakBefore w:val="0"/>
        <w:kinsoku/>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楷体_GB2312" w:cs="Times New Roman"/>
          <w:bCs/>
          <w:color w:val="000000" w:themeColor="text1"/>
          <w:sz w:val="32"/>
          <w:szCs w:val="32"/>
          <w:highlight w:val="none"/>
          <w14:textFill>
            <w14:solidFill>
              <w14:schemeClr w14:val="tx1"/>
            </w14:solidFill>
          </w14:textFill>
        </w:rPr>
        <w:t>（二）加强宣传引导和</w:t>
      </w:r>
      <w:r>
        <w:rPr>
          <w:rFonts w:hint="default" w:ascii="Times New Roman" w:hAnsi="Times New Roman" w:eastAsia="楷体_GB2312" w:cs="Times New Roman"/>
          <w:bCs/>
          <w:color w:val="000000" w:themeColor="text1"/>
          <w:sz w:val="32"/>
          <w:szCs w:val="32"/>
          <w:highlight w:val="none"/>
          <w:lang w:val="en-US" w:eastAsia="zh-CN"/>
          <w14:textFill>
            <w14:solidFill>
              <w14:schemeClr w14:val="tx1"/>
            </w14:solidFill>
          </w14:textFill>
        </w:rPr>
        <w:t>工作</w:t>
      </w:r>
      <w:r>
        <w:rPr>
          <w:rFonts w:hint="default" w:ascii="Times New Roman" w:hAnsi="Times New Roman" w:eastAsia="楷体_GB2312" w:cs="Times New Roman"/>
          <w:bCs/>
          <w:color w:val="000000" w:themeColor="text1"/>
          <w:sz w:val="32"/>
          <w:szCs w:val="32"/>
          <w:highlight w:val="none"/>
          <w14:textFill>
            <w14:solidFill>
              <w14:schemeClr w14:val="tx1"/>
            </w14:solidFill>
          </w14:textFill>
        </w:rPr>
        <w:t>创新。</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大力弘扬社会主义核心价值观和人道主义精神，以及</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平等、参与、共享、融合</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的现代文明理念，广泛开展残疾预防宣传教育。大力宣传全国助残日、国际残疾人日等残疾人节日，广泛宣传党和政府扶残助残优惠政策措施、社会各界的助残善举和残疾人的自强精神，鼓励和引导社会各界参与、支持残疾人事业，营造浓厚的扶残助残社会氛围和残疾人自强的文明社会氛围，共同促进残疾人事业高质量发展。加大对残疾人事业发展</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状况</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和残疾人普遍关心问题的研究，推动残疾人事业和相关政策、管理、体制机制创新，为全</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旗</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残疾人事业发展提供科学依据，推动残疾人事业</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再上新台阶</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p>
    <w:p w14:paraId="67AB1415">
      <w:pPr>
        <w:keepNext w:val="0"/>
        <w:keepLines w:val="0"/>
        <w:pageBreakBefore w:val="0"/>
        <w:kinsoku/>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楷体_GB2312" w:cs="Times New Roman"/>
          <w:bCs/>
          <w:color w:val="000000" w:themeColor="text1"/>
          <w:sz w:val="32"/>
          <w:szCs w:val="32"/>
          <w:highlight w:val="none"/>
          <w14:textFill>
            <w14:solidFill>
              <w14:schemeClr w14:val="tx1"/>
            </w14:solidFill>
          </w14:textFill>
        </w:rPr>
        <w:t>（三）加强政策支撑和经费保障。</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按照相关法律法规，全额</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将残疾人事业经费纳入</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旗</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本级财政预算，建立稳定的经费保障机制，加大对残疾人民生保障和残疾人事业的政策扶持、资金投入力度。加大残疾人就业保障金征收力度，确保按时足额征收。发展残疾人慈善事业，强化政策引领，鼓励更多社会资金参与残疾人事业发展，形成多渠道、全方位的残疾人事业多元投入格局。加强残疾人事业经费绩效评价，提高资金使用效率和管理水平。</w:t>
      </w:r>
    </w:p>
    <w:p w14:paraId="4BEA8965">
      <w:pPr>
        <w:keepNext w:val="0"/>
        <w:keepLines w:val="0"/>
        <w:pageBreakBefore w:val="0"/>
        <w:kinsoku/>
        <w:overflowPunct/>
        <w:topLinePunct w:val="0"/>
        <w:autoSpaceDE/>
        <w:autoSpaceDN/>
        <w:bidi w:val="0"/>
        <w:adjustRightInd/>
        <w:spacing w:line="540" w:lineRule="exact"/>
        <w:jc w:val="both"/>
        <w:textAlignment w:val="auto"/>
        <w:rPr>
          <w:rFonts w:hint="default" w:ascii="Times New Roman" w:hAnsi="Times New Roman" w:eastAsia="仿宋" w:cs="Times New Roman"/>
          <w:color w:val="000000" w:themeColor="text1"/>
          <w:sz w:val="32"/>
          <w:szCs w:val="32"/>
          <w:highlight w:val="none"/>
          <w:lang w:val="en-US" w:eastAsia="zh-CN"/>
          <w14:textFill>
            <w14:solidFill>
              <w14:schemeClr w14:val="tx1"/>
            </w14:solidFill>
          </w14:textFill>
        </w:rPr>
      </w:pPr>
    </w:p>
    <w:sectPr>
      <w:footerReference r:id="rId5" w:type="default"/>
      <w:pgSz w:w="11906" w:h="16838"/>
      <w:pgMar w:top="2098" w:right="1474" w:bottom="1701" w:left="1474"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ongolian Baiti">
    <w:panose1 w:val="03000500000000000000"/>
    <w:charset w:val="00"/>
    <w:family w:val="script"/>
    <w:pitch w:val="default"/>
    <w:sig w:usb0="80000023" w:usb1="00000000" w:usb2="00020000" w:usb3="00000000" w:csb0="00000001" w:csb1="00000000"/>
  </w:font>
  <w:font w:name="仿宋">
    <w:panose1 w:val="02010609060101010101"/>
    <w:charset w:val="86"/>
    <w:family w:val="auto"/>
    <w:pitch w:val="default"/>
    <w:sig w:usb0="800002BF" w:usb1="38CF7CFA" w:usb2="00000016" w:usb3="00000000" w:csb0="00040001" w:csb1="00000000"/>
  </w:font>
  <w:font w:name="微软雅黑">
    <w:panose1 w:val="020B0502040204020203"/>
    <w:charset w:val="86"/>
    <w:family w:val="auto"/>
    <w:pitch w:val="default"/>
    <w:sig w:usb0="A00002BF" w:usb1="2ACF7CFB" w:usb2="00000016" w:usb3="00000000" w:csb0="2004019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BA153B">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FFF62D">
                          <w:pPr>
                            <w:pStyle w:val="6"/>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1FFF62D">
                    <w:pPr>
                      <w:pStyle w:val="6"/>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1832D3">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22B96F">
                          <w:pPr>
                            <w:pStyle w:val="6"/>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322B96F">
                    <w:pPr>
                      <w:pStyle w:val="6"/>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C61D36">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E5AD48">
                          <w:pPr>
                            <w:pStyle w:val="6"/>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- 2 -</w:t>
                          </w:r>
                          <w:r>
                            <w:rPr>
                              <w:rFonts w:hint="eastAsia" w:ascii="宋体" w:hAnsi="宋体" w:eastAsia="宋体" w:cs="宋体"/>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EE5AD48">
                    <w:pPr>
                      <w:pStyle w:val="6"/>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- 2 -</w:t>
                    </w:r>
                    <w:r>
                      <w:rPr>
                        <w:rFonts w:hint="eastAsia" w:ascii="宋体" w:hAnsi="宋体" w:eastAsia="宋体" w:cs="宋体"/>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yZDg3MDRmMTNjMzhhOTVjZDFmZWFkNzgzZGQ2ZTUifQ=="/>
  </w:docVars>
  <w:rsids>
    <w:rsidRoot w:val="0046139D"/>
    <w:rsid w:val="000078B0"/>
    <w:rsid w:val="000338FE"/>
    <w:rsid w:val="000359C0"/>
    <w:rsid w:val="00042D1E"/>
    <w:rsid w:val="00054CC8"/>
    <w:rsid w:val="0005506B"/>
    <w:rsid w:val="000A1E7B"/>
    <w:rsid w:val="000B2764"/>
    <w:rsid w:val="000D5EAD"/>
    <w:rsid w:val="000F0BE4"/>
    <w:rsid w:val="000F796F"/>
    <w:rsid w:val="00114C38"/>
    <w:rsid w:val="00120EE5"/>
    <w:rsid w:val="00136438"/>
    <w:rsid w:val="00160483"/>
    <w:rsid w:val="00162598"/>
    <w:rsid w:val="00177BEE"/>
    <w:rsid w:val="00182BA2"/>
    <w:rsid w:val="00207154"/>
    <w:rsid w:val="00214809"/>
    <w:rsid w:val="00223BEC"/>
    <w:rsid w:val="00270C37"/>
    <w:rsid w:val="00271669"/>
    <w:rsid w:val="00273278"/>
    <w:rsid w:val="002839E6"/>
    <w:rsid w:val="00284982"/>
    <w:rsid w:val="00287176"/>
    <w:rsid w:val="002C5C91"/>
    <w:rsid w:val="002D5007"/>
    <w:rsid w:val="00307329"/>
    <w:rsid w:val="003410EF"/>
    <w:rsid w:val="00361CFD"/>
    <w:rsid w:val="003A0914"/>
    <w:rsid w:val="003F5F2A"/>
    <w:rsid w:val="0046139D"/>
    <w:rsid w:val="00461833"/>
    <w:rsid w:val="00472675"/>
    <w:rsid w:val="0048378D"/>
    <w:rsid w:val="0048502C"/>
    <w:rsid w:val="004C526C"/>
    <w:rsid w:val="0051141A"/>
    <w:rsid w:val="00513253"/>
    <w:rsid w:val="005353AD"/>
    <w:rsid w:val="00535A6A"/>
    <w:rsid w:val="00582B7D"/>
    <w:rsid w:val="00587DBC"/>
    <w:rsid w:val="00591835"/>
    <w:rsid w:val="005B632C"/>
    <w:rsid w:val="005C0A0F"/>
    <w:rsid w:val="005D1F58"/>
    <w:rsid w:val="005D2C58"/>
    <w:rsid w:val="005E0AA6"/>
    <w:rsid w:val="00634D8D"/>
    <w:rsid w:val="00641F0D"/>
    <w:rsid w:val="00670AFE"/>
    <w:rsid w:val="006A5558"/>
    <w:rsid w:val="006A7FEE"/>
    <w:rsid w:val="006D00D4"/>
    <w:rsid w:val="006E6904"/>
    <w:rsid w:val="007078A7"/>
    <w:rsid w:val="007536D1"/>
    <w:rsid w:val="0075644A"/>
    <w:rsid w:val="00792599"/>
    <w:rsid w:val="0088323D"/>
    <w:rsid w:val="00887FD6"/>
    <w:rsid w:val="0089502B"/>
    <w:rsid w:val="0089509A"/>
    <w:rsid w:val="008A0C52"/>
    <w:rsid w:val="008A1DA3"/>
    <w:rsid w:val="008A45F4"/>
    <w:rsid w:val="008C4124"/>
    <w:rsid w:val="00935EB7"/>
    <w:rsid w:val="0096706E"/>
    <w:rsid w:val="009939BB"/>
    <w:rsid w:val="009A7D8B"/>
    <w:rsid w:val="009E5044"/>
    <w:rsid w:val="009E6E9F"/>
    <w:rsid w:val="00A661E6"/>
    <w:rsid w:val="00A7142F"/>
    <w:rsid w:val="00A77D93"/>
    <w:rsid w:val="00A9414D"/>
    <w:rsid w:val="00AA1F7A"/>
    <w:rsid w:val="00AD1F17"/>
    <w:rsid w:val="00AE16BD"/>
    <w:rsid w:val="00B604F6"/>
    <w:rsid w:val="00B9232D"/>
    <w:rsid w:val="00BA15FE"/>
    <w:rsid w:val="00BB40F9"/>
    <w:rsid w:val="00C56FD3"/>
    <w:rsid w:val="00C72096"/>
    <w:rsid w:val="00C77D79"/>
    <w:rsid w:val="00CA40D5"/>
    <w:rsid w:val="00D52B86"/>
    <w:rsid w:val="00D5531E"/>
    <w:rsid w:val="00D65629"/>
    <w:rsid w:val="00D66B3A"/>
    <w:rsid w:val="00D733CC"/>
    <w:rsid w:val="00DA1544"/>
    <w:rsid w:val="00DD48E6"/>
    <w:rsid w:val="00DD5287"/>
    <w:rsid w:val="00DE3995"/>
    <w:rsid w:val="00DF7DBC"/>
    <w:rsid w:val="00E70899"/>
    <w:rsid w:val="00E8449C"/>
    <w:rsid w:val="00E86C95"/>
    <w:rsid w:val="00E97225"/>
    <w:rsid w:val="00EB13B5"/>
    <w:rsid w:val="00EE3F7A"/>
    <w:rsid w:val="00F74B31"/>
    <w:rsid w:val="00F77FDF"/>
    <w:rsid w:val="00F920A7"/>
    <w:rsid w:val="00FA1F40"/>
    <w:rsid w:val="00FB349B"/>
    <w:rsid w:val="00FC321B"/>
    <w:rsid w:val="00FF0305"/>
    <w:rsid w:val="00FF757D"/>
    <w:rsid w:val="010A478A"/>
    <w:rsid w:val="01170C55"/>
    <w:rsid w:val="011942D5"/>
    <w:rsid w:val="012A2737"/>
    <w:rsid w:val="012B4701"/>
    <w:rsid w:val="01C5343E"/>
    <w:rsid w:val="025832D3"/>
    <w:rsid w:val="02773D0F"/>
    <w:rsid w:val="02897931"/>
    <w:rsid w:val="029541E3"/>
    <w:rsid w:val="02B349AE"/>
    <w:rsid w:val="02BA1304"/>
    <w:rsid w:val="02E948AC"/>
    <w:rsid w:val="02EE59E6"/>
    <w:rsid w:val="03157416"/>
    <w:rsid w:val="03422F56"/>
    <w:rsid w:val="03655CA8"/>
    <w:rsid w:val="03661A20"/>
    <w:rsid w:val="037B52A0"/>
    <w:rsid w:val="039343D8"/>
    <w:rsid w:val="03A94C5F"/>
    <w:rsid w:val="040A6918"/>
    <w:rsid w:val="04101A21"/>
    <w:rsid w:val="043B2EAD"/>
    <w:rsid w:val="044E383B"/>
    <w:rsid w:val="04620439"/>
    <w:rsid w:val="04812FB5"/>
    <w:rsid w:val="04826D2E"/>
    <w:rsid w:val="04877EA0"/>
    <w:rsid w:val="048B33B1"/>
    <w:rsid w:val="04A46CA4"/>
    <w:rsid w:val="04B32C24"/>
    <w:rsid w:val="04E62E18"/>
    <w:rsid w:val="052D4EEB"/>
    <w:rsid w:val="05485881"/>
    <w:rsid w:val="0559183C"/>
    <w:rsid w:val="056A3A4A"/>
    <w:rsid w:val="056C778F"/>
    <w:rsid w:val="05852631"/>
    <w:rsid w:val="059960DD"/>
    <w:rsid w:val="05A1237F"/>
    <w:rsid w:val="05AF3B52"/>
    <w:rsid w:val="05CA273A"/>
    <w:rsid w:val="05E57060"/>
    <w:rsid w:val="060D2627"/>
    <w:rsid w:val="060E10F5"/>
    <w:rsid w:val="061D0ABC"/>
    <w:rsid w:val="062C6F51"/>
    <w:rsid w:val="065D5F02"/>
    <w:rsid w:val="0684356E"/>
    <w:rsid w:val="06A4027D"/>
    <w:rsid w:val="06A84E12"/>
    <w:rsid w:val="06AB431A"/>
    <w:rsid w:val="06B331CE"/>
    <w:rsid w:val="06B55198"/>
    <w:rsid w:val="06C75A8A"/>
    <w:rsid w:val="06F2054C"/>
    <w:rsid w:val="06F86E33"/>
    <w:rsid w:val="07061550"/>
    <w:rsid w:val="07287EFD"/>
    <w:rsid w:val="07375BAD"/>
    <w:rsid w:val="077C5CB6"/>
    <w:rsid w:val="07C51EE3"/>
    <w:rsid w:val="08030185"/>
    <w:rsid w:val="080F2686"/>
    <w:rsid w:val="08123F24"/>
    <w:rsid w:val="08395955"/>
    <w:rsid w:val="088A61B1"/>
    <w:rsid w:val="088C72A8"/>
    <w:rsid w:val="08945E4C"/>
    <w:rsid w:val="089D7C92"/>
    <w:rsid w:val="08AF5C17"/>
    <w:rsid w:val="09016473"/>
    <w:rsid w:val="091548EE"/>
    <w:rsid w:val="09410F65"/>
    <w:rsid w:val="095C7B4D"/>
    <w:rsid w:val="097A6225"/>
    <w:rsid w:val="09905A49"/>
    <w:rsid w:val="09A148B0"/>
    <w:rsid w:val="09C3197A"/>
    <w:rsid w:val="09C3370C"/>
    <w:rsid w:val="09EA5875"/>
    <w:rsid w:val="09F339AB"/>
    <w:rsid w:val="09F71024"/>
    <w:rsid w:val="0A1E3055"/>
    <w:rsid w:val="0A200B7B"/>
    <w:rsid w:val="0A3665F0"/>
    <w:rsid w:val="0A58693F"/>
    <w:rsid w:val="0A5B171E"/>
    <w:rsid w:val="0A5F7454"/>
    <w:rsid w:val="0A891FB9"/>
    <w:rsid w:val="0B3545A0"/>
    <w:rsid w:val="0B6068B1"/>
    <w:rsid w:val="0B726179"/>
    <w:rsid w:val="0B8C1E8A"/>
    <w:rsid w:val="0B993593"/>
    <w:rsid w:val="0BB51797"/>
    <w:rsid w:val="0BBC2B25"/>
    <w:rsid w:val="0BF978D5"/>
    <w:rsid w:val="0C2D70D0"/>
    <w:rsid w:val="0C4274CE"/>
    <w:rsid w:val="0C4A245E"/>
    <w:rsid w:val="0C6E02C3"/>
    <w:rsid w:val="0C9D6B0C"/>
    <w:rsid w:val="0CD23815"/>
    <w:rsid w:val="0CE02843"/>
    <w:rsid w:val="0D020A0B"/>
    <w:rsid w:val="0D3E26CF"/>
    <w:rsid w:val="0D5A0848"/>
    <w:rsid w:val="0DD00B0A"/>
    <w:rsid w:val="0DD54693"/>
    <w:rsid w:val="0E065EF2"/>
    <w:rsid w:val="0E2B2934"/>
    <w:rsid w:val="0E42139A"/>
    <w:rsid w:val="0E5A03D3"/>
    <w:rsid w:val="0E6855F4"/>
    <w:rsid w:val="0E8518F4"/>
    <w:rsid w:val="0E8A6F0A"/>
    <w:rsid w:val="0E9438E5"/>
    <w:rsid w:val="0E980DFD"/>
    <w:rsid w:val="0ED73668"/>
    <w:rsid w:val="0EE83C31"/>
    <w:rsid w:val="0F1A64E0"/>
    <w:rsid w:val="0F5B4403"/>
    <w:rsid w:val="0F6D1808"/>
    <w:rsid w:val="0F9C6EF5"/>
    <w:rsid w:val="0FBD50BE"/>
    <w:rsid w:val="0FC242D0"/>
    <w:rsid w:val="0FD018F0"/>
    <w:rsid w:val="0FF76919"/>
    <w:rsid w:val="0FFE195E"/>
    <w:rsid w:val="10394744"/>
    <w:rsid w:val="103C2486"/>
    <w:rsid w:val="10582E9D"/>
    <w:rsid w:val="106C5F4C"/>
    <w:rsid w:val="109710C4"/>
    <w:rsid w:val="109A1EA7"/>
    <w:rsid w:val="10AD6EE0"/>
    <w:rsid w:val="10BD35C7"/>
    <w:rsid w:val="10D10E21"/>
    <w:rsid w:val="10D821AF"/>
    <w:rsid w:val="110922F6"/>
    <w:rsid w:val="11197605"/>
    <w:rsid w:val="111B209C"/>
    <w:rsid w:val="1198269B"/>
    <w:rsid w:val="11D25DF3"/>
    <w:rsid w:val="11E9219A"/>
    <w:rsid w:val="11FF44F0"/>
    <w:rsid w:val="12394ECF"/>
    <w:rsid w:val="12637EF9"/>
    <w:rsid w:val="12734B3F"/>
    <w:rsid w:val="12B46304"/>
    <w:rsid w:val="13236CFB"/>
    <w:rsid w:val="13441D7E"/>
    <w:rsid w:val="136C4E31"/>
    <w:rsid w:val="138E02FB"/>
    <w:rsid w:val="13A10F7E"/>
    <w:rsid w:val="13B27B6C"/>
    <w:rsid w:val="13B30CB1"/>
    <w:rsid w:val="13FA068E"/>
    <w:rsid w:val="140F6407"/>
    <w:rsid w:val="143378F6"/>
    <w:rsid w:val="144A2C1F"/>
    <w:rsid w:val="144C06BE"/>
    <w:rsid w:val="14801D59"/>
    <w:rsid w:val="14A7610D"/>
    <w:rsid w:val="14AD74AF"/>
    <w:rsid w:val="14DC21FC"/>
    <w:rsid w:val="14EB7FD7"/>
    <w:rsid w:val="14F73AAC"/>
    <w:rsid w:val="14F90946"/>
    <w:rsid w:val="150D43F1"/>
    <w:rsid w:val="1517701E"/>
    <w:rsid w:val="15842905"/>
    <w:rsid w:val="158A3ECC"/>
    <w:rsid w:val="15A65979"/>
    <w:rsid w:val="15B64A89"/>
    <w:rsid w:val="15C26F8A"/>
    <w:rsid w:val="15C34AB0"/>
    <w:rsid w:val="15F60B10"/>
    <w:rsid w:val="165878EE"/>
    <w:rsid w:val="16797F90"/>
    <w:rsid w:val="16E6314C"/>
    <w:rsid w:val="16FF7D47"/>
    <w:rsid w:val="170556EF"/>
    <w:rsid w:val="17237EFC"/>
    <w:rsid w:val="174435F7"/>
    <w:rsid w:val="177E3384"/>
    <w:rsid w:val="17832749"/>
    <w:rsid w:val="17852965"/>
    <w:rsid w:val="17AC7EF2"/>
    <w:rsid w:val="17B31280"/>
    <w:rsid w:val="17D16C96"/>
    <w:rsid w:val="180C0990"/>
    <w:rsid w:val="18375373"/>
    <w:rsid w:val="18495410"/>
    <w:rsid w:val="184B14B9"/>
    <w:rsid w:val="185F4F64"/>
    <w:rsid w:val="18811E7B"/>
    <w:rsid w:val="18A06EB8"/>
    <w:rsid w:val="18D56FD4"/>
    <w:rsid w:val="18DD6CF9"/>
    <w:rsid w:val="19121FD6"/>
    <w:rsid w:val="1922346A"/>
    <w:rsid w:val="193A6D97"/>
    <w:rsid w:val="195725A1"/>
    <w:rsid w:val="19856C4C"/>
    <w:rsid w:val="198C2ACD"/>
    <w:rsid w:val="19D85F62"/>
    <w:rsid w:val="1A7F47B4"/>
    <w:rsid w:val="1ABF7563"/>
    <w:rsid w:val="1ACB4B33"/>
    <w:rsid w:val="1AFA45F3"/>
    <w:rsid w:val="1AFC6A9A"/>
    <w:rsid w:val="1B3B1CB8"/>
    <w:rsid w:val="1B3C333B"/>
    <w:rsid w:val="1B5F0FC2"/>
    <w:rsid w:val="1B6F7443"/>
    <w:rsid w:val="1B80727C"/>
    <w:rsid w:val="1BDB7100"/>
    <w:rsid w:val="1C025AD8"/>
    <w:rsid w:val="1C177904"/>
    <w:rsid w:val="1C27223D"/>
    <w:rsid w:val="1C312724"/>
    <w:rsid w:val="1C3F76DA"/>
    <w:rsid w:val="1C4701E9"/>
    <w:rsid w:val="1C696D59"/>
    <w:rsid w:val="1C6C70DF"/>
    <w:rsid w:val="1C7910C1"/>
    <w:rsid w:val="1CA556C4"/>
    <w:rsid w:val="1CB05D8E"/>
    <w:rsid w:val="1CC3102C"/>
    <w:rsid w:val="1CC63804"/>
    <w:rsid w:val="1CD91AA0"/>
    <w:rsid w:val="1CDF0421"/>
    <w:rsid w:val="1CEC01AC"/>
    <w:rsid w:val="1D2D5631"/>
    <w:rsid w:val="1D682B0D"/>
    <w:rsid w:val="1D994A74"/>
    <w:rsid w:val="1DA83589"/>
    <w:rsid w:val="1DB07919"/>
    <w:rsid w:val="1DF95513"/>
    <w:rsid w:val="1E012619"/>
    <w:rsid w:val="1E025946"/>
    <w:rsid w:val="1E195BB5"/>
    <w:rsid w:val="1E2F362A"/>
    <w:rsid w:val="1E6D7CAF"/>
    <w:rsid w:val="1EBA5E2B"/>
    <w:rsid w:val="1F046C5D"/>
    <w:rsid w:val="1F1B00B6"/>
    <w:rsid w:val="1F2C1918"/>
    <w:rsid w:val="1FD44489"/>
    <w:rsid w:val="2017726A"/>
    <w:rsid w:val="201F345A"/>
    <w:rsid w:val="20393BEE"/>
    <w:rsid w:val="203D645B"/>
    <w:rsid w:val="206E3659"/>
    <w:rsid w:val="20901CE0"/>
    <w:rsid w:val="20C22EE1"/>
    <w:rsid w:val="20F80209"/>
    <w:rsid w:val="21236CA2"/>
    <w:rsid w:val="214967B1"/>
    <w:rsid w:val="21976EA3"/>
    <w:rsid w:val="2199566E"/>
    <w:rsid w:val="21A63DC6"/>
    <w:rsid w:val="21B207FA"/>
    <w:rsid w:val="21B77BBF"/>
    <w:rsid w:val="21D40771"/>
    <w:rsid w:val="21E444EA"/>
    <w:rsid w:val="2234120F"/>
    <w:rsid w:val="223E0C8D"/>
    <w:rsid w:val="2250591D"/>
    <w:rsid w:val="22617307"/>
    <w:rsid w:val="22B4072D"/>
    <w:rsid w:val="22C22715"/>
    <w:rsid w:val="22CA3922"/>
    <w:rsid w:val="22DA697D"/>
    <w:rsid w:val="22E020D9"/>
    <w:rsid w:val="22E813AD"/>
    <w:rsid w:val="230659E9"/>
    <w:rsid w:val="23166B67"/>
    <w:rsid w:val="232057A9"/>
    <w:rsid w:val="235C0A1E"/>
    <w:rsid w:val="2388304D"/>
    <w:rsid w:val="23885214"/>
    <w:rsid w:val="23935FE5"/>
    <w:rsid w:val="23BF1086"/>
    <w:rsid w:val="23C966D4"/>
    <w:rsid w:val="23CB3F5C"/>
    <w:rsid w:val="23ED78C8"/>
    <w:rsid w:val="23F06F74"/>
    <w:rsid w:val="23F944BF"/>
    <w:rsid w:val="240563F4"/>
    <w:rsid w:val="241906BD"/>
    <w:rsid w:val="24427D62"/>
    <w:rsid w:val="24826D30"/>
    <w:rsid w:val="24B959FC"/>
    <w:rsid w:val="24BC54EC"/>
    <w:rsid w:val="24C71474"/>
    <w:rsid w:val="24F31617"/>
    <w:rsid w:val="24FD1D8D"/>
    <w:rsid w:val="2533755C"/>
    <w:rsid w:val="2544208E"/>
    <w:rsid w:val="254B395B"/>
    <w:rsid w:val="2560410C"/>
    <w:rsid w:val="256911D0"/>
    <w:rsid w:val="25767A22"/>
    <w:rsid w:val="25783B09"/>
    <w:rsid w:val="25AC314A"/>
    <w:rsid w:val="25E01B3B"/>
    <w:rsid w:val="25E71EA7"/>
    <w:rsid w:val="25F767DC"/>
    <w:rsid w:val="264D6D44"/>
    <w:rsid w:val="264F486A"/>
    <w:rsid w:val="267C4F33"/>
    <w:rsid w:val="26DA43B4"/>
    <w:rsid w:val="26DB60FD"/>
    <w:rsid w:val="27127645"/>
    <w:rsid w:val="272D6162"/>
    <w:rsid w:val="273932A8"/>
    <w:rsid w:val="27490A16"/>
    <w:rsid w:val="274A3283"/>
    <w:rsid w:val="278D12FE"/>
    <w:rsid w:val="279A2408"/>
    <w:rsid w:val="27E6523A"/>
    <w:rsid w:val="284D302B"/>
    <w:rsid w:val="287C746C"/>
    <w:rsid w:val="287F6F5C"/>
    <w:rsid w:val="28A349F9"/>
    <w:rsid w:val="28D472A8"/>
    <w:rsid w:val="28D5503E"/>
    <w:rsid w:val="28DE16A8"/>
    <w:rsid w:val="29437879"/>
    <w:rsid w:val="29647996"/>
    <w:rsid w:val="298F4F7D"/>
    <w:rsid w:val="29A7504E"/>
    <w:rsid w:val="29A9603F"/>
    <w:rsid w:val="29BD11D3"/>
    <w:rsid w:val="29C462AA"/>
    <w:rsid w:val="29D26936"/>
    <w:rsid w:val="29DB4666"/>
    <w:rsid w:val="29E5329D"/>
    <w:rsid w:val="2A1F4553"/>
    <w:rsid w:val="2A3F69A3"/>
    <w:rsid w:val="2A590343"/>
    <w:rsid w:val="2A7312F2"/>
    <w:rsid w:val="2A747B2D"/>
    <w:rsid w:val="2A771062"/>
    <w:rsid w:val="2A810D6A"/>
    <w:rsid w:val="2A8B7E3A"/>
    <w:rsid w:val="2A9036A3"/>
    <w:rsid w:val="2A97233B"/>
    <w:rsid w:val="2AAD2A9C"/>
    <w:rsid w:val="2AEC6B2B"/>
    <w:rsid w:val="2AF673EE"/>
    <w:rsid w:val="2B1716CE"/>
    <w:rsid w:val="2B1B1601"/>
    <w:rsid w:val="2B827067"/>
    <w:rsid w:val="2BA41D4A"/>
    <w:rsid w:val="2BDD1B77"/>
    <w:rsid w:val="2C017CB3"/>
    <w:rsid w:val="2C2916B9"/>
    <w:rsid w:val="2C31056E"/>
    <w:rsid w:val="2C414C55"/>
    <w:rsid w:val="2C504E98"/>
    <w:rsid w:val="2C5524AE"/>
    <w:rsid w:val="2C5F157F"/>
    <w:rsid w:val="2C994A91"/>
    <w:rsid w:val="2CA62764"/>
    <w:rsid w:val="2CAD22EA"/>
    <w:rsid w:val="2CB04AF3"/>
    <w:rsid w:val="2CBA21B4"/>
    <w:rsid w:val="2CBD4166"/>
    <w:rsid w:val="2CE11F94"/>
    <w:rsid w:val="2CE369EF"/>
    <w:rsid w:val="2D1A11B0"/>
    <w:rsid w:val="2D412F5D"/>
    <w:rsid w:val="2D5409B8"/>
    <w:rsid w:val="2D5B04A1"/>
    <w:rsid w:val="2D6911F0"/>
    <w:rsid w:val="2D937732"/>
    <w:rsid w:val="2DA86ECC"/>
    <w:rsid w:val="2DE27D71"/>
    <w:rsid w:val="2DE735DA"/>
    <w:rsid w:val="2E094915"/>
    <w:rsid w:val="2E354E3E"/>
    <w:rsid w:val="2E4E5440"/>
    <w:rsid w:val="2E7C66C5"/>
    <w:rsid w:val="2E7E481A"/>
    <w:rsid w:val="2E864BA1"/>
    <w:rsid w:val="2E8D7304"/>
    <w:rsid w:val="2E8E0165"/>
    <w:rsid w:val="2EB07E70"/>
    <w:rsid w:val="2EC05403"/>
    <w:rsid w:val="2EC90F31"/>
    <w:rsid w:val="2EEA7C45"/>
    <w:rsid w:val="2EF85D6C"/>
    <w:rsid w:val="2F120B2A"/>
    <w:rsid w:val="2F195A15"/>
    <w:rsid w:val="2F28164A"/>
    <w:rsid w:val="2F3638E3"/>
    <w:rsid w:val="2F4658FB"/>
    <w:rsid w:val="2F725125"/>
    <w:rsid w:val="2FAD520D"/>
    <w:rsid w:val="2FCA4F9E"/>
    <w:rsid w:val="2FFB511A"/>
    <w:rsid w:val="30073ABF"/>
    <w:rsid w:val="301A055A"/>
    <w:rsid w:val="30221655"/>
    <w:rsid w:val="302C1778"/>
    <w:rsid w:val="305727DF"/>
    <w:rsid w:val="305B205D"/>
    <w:rsid w:val="305B2C18"/>
    <w:rsid w:val="30C06C72"/>
    <w:rsid w:val="30FD3114"/>
    <w:rsid w:val="311346E6"/>
    <w:rsid w:val="31185A45"/>
    <w:rsid w:val="311D6B6F"/>
    <w:rsid w:val="311E2BC7"/>
    <w:rsid w:val="3136355C"/>
    <w:rsid w:val="31374878"/>
    <w:rsid w:val="31445116"/>
    <w:rsid w:val="31DA30CD"/>
    <w:rsid w:val="323B5CA2"/>
    <w:rsid w:val="32456B21"/>
    <w:rsid w:val="32566F80"/>
    <w:rsid w:val="32715B68"/>
    <w:rsid w:val="32B048E2"/>
    <w:rsid w:val="32C043F9"/>
    <w:rsid w:val="32EC701F"/>
    <w:rsid w:val="32F06C77"/>
    <w:rsid w:val="32F83B93"/>
    <w:rsid w:val="333F75F5"/>
    <w:rsid w:val="3389765A"/>
    <w:rsid w:val="339E473B"/>
    <w:rsid w:val="33BB46BD"/>
    <w:rsid w:val="33F0483B"/>
    <w:rsid w:val="33FB3C73"/>
    <w:rsid w:val="34145474"/>
    <w:rsid w:val="34256C0A"/>
    <w:rsid w:val="342A4220"/>
    <w:rsid w:val="34403A44"/>
    <w:rsid w:val="34AE30A3"/>
    <w:rsid w:val="34AE6BFF"/>
    <w:rsid w:val="34B20BB8"/>
    <w:rsid w:val="34CC7CED"/>
    <w:rsid w:val="34D66156"/>
    <w:rsid w:val="34D7306B"/>
    <w:rsid w:val="34EC3BCC"/>
    <w:rsid w:val="34F12F90"/>
    <w:rsid w:val="35377B8C"/>
    <w:rsid w:val="356D0868"/>
    <w:rsid w:val="35906BFF"/>
    <w:rsid w:val="359F479A"/>
    <w:rsid w:val="35D00DF7"/>
    <w:rsid w:val="35EB5C31"/>
    <w:rsid w:val="35F20D6E"/>
    <w:rsid w:val="363A0B87"/>
    <w:rsid w:val="3643781B"/>
    <w:rsid w:val="3679148F"/>
    <w:rsid w:val="36853990"/>
    <w:rsid w:val="36987B67"/>
    <w:rsid w:val="369B7657"/>
    <w:rsid w:val="36B424C7"/>
    <w:rsid w:val="36EA0C9C"/>
    <w:rsid w:val="37160A8C"/>
    <w:rsid w:val="37555A58"/>
    <w:rsid w:val="376B702A"/>
    <w:rsid w:val="37AB1B1C"/>
    <w:rsid w:val="37C72532"/>
    <w:rsid w:val="37FF2466"/>
    <w:rsid w:val="38213B8C"/>
    <w:rsid w:val="382A5B5D"/>
    <w:rsid w:val="382F0057"/>
    <w:rsid w:val="383218F5"/>
    <w:rsid w:val="383934B5"/>
    <w:rsid w:val="38486C73"/>
    <w:rsid w:val="38BF14F3"/>
    <w:rsid w:val="38EA0422"/>
    <w:rsid w:val="38F46BA7"/>
    <w:rsid w:val="38F70143"/>
    <w:rsid w:val="38FB618B"/>
    <w:rsid w:val="39062BB4"/>
    <w:rsid w:val="39186D3D"/>
    <w:rsid w:val="39333B77"/>
    <w:rsid w:val="39461AFC"/>
    <w:rsid w:val="395307FB"/>
    <w:rsid w:val="39930ABA"/>
    <w:rsid w:val="39A71E6F"/>
    <w:rsid w:val="39B8407C"/>
    <w:rsid w:val="39D4535A"/>
    <w:rsid w:val="39DB1FA9"/>
    <w:rsid w:val="39ED56B2"/>
    <w:rsid w:val="3A39340F"/>
    <w:rsid w:val="3A4A3655"/>
    <w:rsid w:val="3A6D130B"/>
    <w:rsid w:val="3A7C3613"/>
    <w:rsid w:val="3AB17449"/>
    <w:rsid w:val="3AEC66D3"/>
    <w:rsid w:val="3B4756B8"/>
    <w:rsid w:val="3B4E3446"/>
    <w:rsid w:val="3B7442DC"/>
    <w:rsid w:val="3B914B85"/>
    <w:rsid w:val="3BA24FE4"/>
    <w:rsid w:val="3BAD4181"/>
    <w:rsid w:val="3BC60CD2"/>
    <w:rsid w:val="3C0435A9"/>
    <w:rsid w:val="3C3245BA"/>
    <w:rsid w:val="3C81109D"/>
    <w:rsid w:val="3C854FFE"/>
    <w:rsid w:val="3CC35212"/>
    <w:rsid w:val="3D00593F"/>
    <w:rsid w:val="3D406863"/>
    <w:rsid w:val="3D7B5A3A"/>
    <w:rsid w:val="3D8449A1"/>
    <w:rsid w:val="3DA16BC8"/>
    <w:rsid w:val="3DAA7851"/>
    <w:rsid w:val="3DC70D32"/>
    <w:rsid w:val="3DD95ACD"/>
    <w:rsid w:val="3DDA7888"/>
    <w:rsid w:val="3DEC2546"/>
    <w:rsid w:val="3E4F541F"/>
    <w:rsid w:val="3E8F1850"/>
    <w:rsid w:val="3E9B0333"/>
    <w:rsid w:val="3E9C3F6D"/>
    <w:rsid w:val="3EAE1C5E"/>
    <w:rsid w:val="3EB94B1E"/>
    <w:rsid w:val="3EC169EB"/>
    <w:rsid w:val="3ED35354"/>
    <w:rsid w:val="3ED56470"/>
    <w:rsid w:val="3ED656D0"/>
    <w:rsid w:val="3EDF240D"/>
    <w:rsid w:val="3EEA2523"/>
    <w:rsid w:val="3EEA310C"/>
    <w:rsid w:val="3EF50BDA"/>
    <w:rsid w:val="3EFB6EE5"/>
    <w:rsid w:val="3EFE13B2"/>
    <w:rsid w:val="3F0A7128"/>
    <w:rsid w:val="3F32667F"/>
    <w:rsid w:val="3F7117C4"/>
    <w:rsid w:val="3F953302"/>
    <w:rsid w:val="3FB53538"/>
    <w:rsid w:val="3FF75270"/>
    <w:rsid w:val="40167D4F"/>
    <w:rsid w:val="40273D0A"/>
    <w:rsid w:val="407D78C3"/>
    <w:rsid w:val="407E7DCE"/>
    <w:rsid w:val="409A4809"/>
    <w:rsid w:val="40A150DA"/>
    <w:rsid w:val="40D774DE"/>
    <w:rsid w:val="41016309"/>
    <w:rsid w:val="410D73A4"/>
    <w:rsid w:val="41354204"/>
    <w:rsid w:val="415561B2"/>
    <w:rsid w:val="41AC44C7"/>
    <w:rsid w:val="41CA5CC4"/>
    <w:rsid w:val="41DD28D2"/>
    <w:rsid w:val="41F8770C"/>
    <w:rsid w:val="42215C4F"/>
    <w:rsid w:val="422E137F"/>
    <w:rsid w:val="42352798"/>
    <w:rsid w:val="423D7EBF"/>
    <w:rsid w:val="425863FC"/>
    <w:rsid w:val="426C62D9"/>
    <w:rsid w:val="428E0070"/>
    <w:rsid w:val="42955A75"/>
    <w:rsid w:val="42B70645"/>
    <w:rsid w:val="42B86E9B"/>
    <w:rsid w:val="42BA70B7"/>
    <w:rsid w:val="42C41CE4"/>
    <w:rsid w:val="42C7144C"/>
    <w:rsid w:val="42CF6B18"/>
    <w:rsid w:val="42E47C90"/>
    <w:rsid w:val="42F94CA5"/>
    <w:rsid w:val="42FF4ACA"/>
    <w:rsid w:val="43014CE6"/>
    <w:rsid w:val="43217CDA"/>
    <w:rsid w:val="4349399B"/>
    <w:rsid w:val="43790D20"/>
    <w:rsid w:val="43915FC8"/>
    <w:rsid w:val="43C7383A"/>
    <w:rsid w:val="44311834"/>
    <w:rsid w:val="446472DA"/>
    <w:rsid w:val="447119F7"/>
    <w:rsid w:val="44715FE6"/>
    <w:rsid w:val="448E6105"/>
    <w:rsid w:val="44975C2B"/>
    <w:rsid w:val="44E67CEF"/>
    <w:rsid w:val="44ED72D0"/>
    <w:rsid w:val="45076506"/>
    <w:rsid w:val="452E2BA5"/>
    <w:rsid w:val="4530540F"/>
    <w:rsid w:val="45521829"/>
    <w:rsid w:val="45605CF4"/>
    <w:rsid w:val="45861E29"/>
    <w:rsid w:val="459F01B9"/>
    <w:rsid w:val="45E306D3"/>
    <w:rsid w:val="462C5BD6"/>
    <w:rsid w:val="466F21C3"/>
    <w:rsid w:val="46B502C1"/>
    <w:rsid w:val="46C655F9"/>
    <w:rsid w:val="46CB1893"/>
    <w:rsid w:val="46D85D5E"/>
    <w:rsid w:val="46EB56BB"/>
    <w:rsid w:val="472930B6"/>
    <w:rsid w:val="476B6AD8"/>
    <w:rsid w:val="47A619F5"/>
    <w:rsid w:val="47AF12B5"/>
    <w:rsid w:val="47B70069"/>
    <w:rsid w:val="47F24EF9"/>
    <w:rsid w:val="47F642D4"/>
    <w:rsid w:val="48127273"/>
    <w:rsid w:val="481D53D0"/>
    <w:rsid w:val="481D611E"/>
    <w:rsid w:val="4846162B"/>
    <w:rsid w:val="4856239B"/>
    <w:rsid w:val="48E629B4"/>
    <w:rsid w:val="48F36E7F"/>
    <w:rsid w:val="48FB50D7"/>
    <w:rsid w:val="49066BB2"/>
    <w:rsid w:val="49425710"/>
    <w:rsid w:val="495C4A24"/>
    <w:rsid w:val="4980005D"/>
    <w:rsid w:val="4981092F"/>
    <w:rsid w:val="49816239"/>
    <w:rsid w:val="49927BDF"/>
    <w:rsid w:val="49A168DB"/>
    <w:rsid w:val="49C76223"/>
    <w:rsid w:val="4A3B4EE4"/>
    <w:rsid w:val="4A611A34"/>
    <w:rsid w:val="4A7A0743"/>
    <w:rsid w:val="4AA2290B"/>
    <w:rsid w:val="4AA330AE"/>
    <w:rsid w:val="4AC757C3"/>
    <w:rsid w:val="4AF636F2"/>
    <w:rsid w:val="4B335C59"/>
    <w:rsid w:val="4B381F8C"/>
    <w:rsid w:val="4B4B2FA2"/>
    <w:rsid w:val="4B517E8D"/>
    <w:rsid w:val="4B6776B0"/>
    <w:rsid w:val="4BA44460"/>
    <w:rsid w:val="4BE07B8E"/>
    <w:rsid w:val="4C1F0099"/>
    <w:rsid w:val="4C3C28EB"/>
    <w:rsid w:val="4C474DE9"/>
    <w:rsid w:val="4C5440D8"/>
    <w:rsid w:val="4C743835"/>
    <w:rsid w:val="4C7D53DD"/>
    <w:rsid w:val="4C7E4CB1"/>
    <w:rsid w:val="4C8D179C"/>
    <w:rsid w:val="4C930AB8"/>
    <w:rsid w:val="4C9E7102"/>
    <w:rsid w:val="4CA87F80"/>
    <w:rsid w:val="4CB92D45"/>
    <w:rsid w:val="4CC528E0"/>
    <w:rsid w:val="4CD5739C"/>
    <w:rsid w:val="4CFA7AC0"/>
    <w:rsid w:val="4D0210D8"/>
    <w:rsid w:val="4D6C0FAE"/>
    <w:rsid w:val="4D7159C1"/>
    <w:rsid w:val="4DDC25D7"/>
    <w:rsid w:val="4DFE254E"/>
    <w:rsid w:val="4E2232D9"/>
    <w:rsid w:val="4E750C95"/>
    <w:rsid w:val="4E7E2CDE"/>
    <w:rsid w:val="4EA33777"/>
    <w:rsid w:val="4EA75539"/>
    <w:rsid w:val="4ED25C7E"/>
    <w:rsid w:val="4ED81994"/>
    <w:rsid w:val="4EF456FF"/>
    <w:rsid w:val="4EFC7613"/>
    <w:rsid w:val="4F006FAE"/>
    <w:rsid w:val="4F036558"/>
    <w:rsid w:val="4F41644B"/>
    <w:rsid w:val="4F6B088D"/>
    <w:rsid w:val="4F701229"/>
    <w:rsid w:val="4F7B197C"/>
    <w:rsid w:val="4F9A44F8"/>
    <w:rsid w:val="4F9D18F3"/>
    <w:rsid w:val="4FB12E0A"/>
    <w:rsid w:val="4FBA3BB3"/>
    <w:rsid w:val="4FD30162"/>
    <w:rsid w:val="502254DB"/>
    <w:rsid w:val="503F6BA8"/>
    <w:rsid w:val="50545D49"/>
    <w:rsid w:val="509176A9"/>
    <w:rsid w:val="50B8059C"/>
    <w:rsid w:val="50C730CB"/>
    <w:rsid w:val="50F6575E"/>
    <w:rsid w:val="510A745C"/>
    <w:rsid w:val="512F2A1E"/>
    <w:rsid w:val="51383FC9"/>
    <w:rsid w:val="513F5357"/>
    <w:rsid w:val="51583D23"/>
    <w:rsid w:val="51672275"/>
    <w:rsid w:val="518C1C1F"/>
    <w:rsid w:val="51976F30"/>
    <w:rsid w:val="51AB6549"/>
    <w:rsid w:val="51C07B1A"/>
    <w:rsid w:val="51C70EA9"/>
    <w:rsid w:val="51CE0489"/>
    <w:rsid w:val="51D11D27"/>
    <w:rsid w:val="51D870BF"/>
    <w:rsid w:val="520D3E4A"/>
    <w:rsid w:val="52505342"/>
    <w:rsid w:val="526B3F2A"/>
    <w:rsid w:val="529272B6"/>
    <w:rsid w:val="52F21F55"/>
    <w:rsid w:val="532F4F57"/>
    <w:rsid w:val="53542C10"/>
    <w:rsid w:val="538E0895"/>
    <w:rsid w:val="539A6875"/>
    <w:rsid w:val="53BA1FEB"/>
    <w:rsid w:val="53D17DBD"/>
    <w:rsid w:val="53DE62D7"/>
    <w:rsid w:val="54025119"/>
    <w:rsid w:val="543D36A4"/>
    <w:rsid w:val="54532EC8"/>
    <w:rsid w:val="545E0B04"/>
    <w:rsid w:val="54652596"/>
    <w:rsid w:val="54971006"/>
    <w:rsid w:val="549F7EBB"/>
    <w:rsid w:val="54A454D1"/>
    <w:rsid w:val="54BE2A37"/>
    <w:rsid w:val="54ED3CA1"/>
    <w:rsid w:val="54F2623D"/>
    <w:rsid w:val="55015561"/>
    <w:rsid w:val="550A17D8"/>
    <w:rsid w:val="550C6DE1"/>
    <w:rsid w:val="55515659"/>
    <w:rsid w:val="55734650"/>
    <w:rsid w:val="55CF2A0B"/>
    <w:rsid w:val="56101070"/>
    <w:rsid w:val="563D798B"/>
    <w:rsid w:val="56570A4D"/>
    <w:rsid w:val="565C2507"/>
    <w:rsid w:val="56682C5A"/>
    <w:rsid w:val="56877F3D"/>
    <w:rsid w:val="569C0B56"/>
    <w:rsid w:val="56A13630"/>
    <w:rsid w:val="570A1F63"/>
    <w:rsid w:val="571E5A0F"/>
    <w:rsid w:val="573258E0"/>
    <w:rsid w:val="57713D91"/>
    <w:rsid w:val="57727B09"/>
    <w:rsid w:val="57743D0A"/>
    <w:rsid w:val="579E0408"/>
    <w:rsid w:val="57B73A10"/>
    <w:rsid w:val="57C05F16"/>
    <w:rsid w:val="57C22735"/>
    <w:rsid w:val="57CE2035"/>
    <w:rsid w:val="57E7336B"/>
    <w:rsid w:val="5807265D"/>
    <w:rsid w:val="580764A3"/>
    <w:rsid w:val="5814471C"/>
    <w:rsid w:val="58340B0E"/>
    <w:rsid w:val="584F18E4"/>
    <w:rsid w:val="58573027"/>
    <w:rsid w:val="588502C1"/>
    <w:rsid w:val="58A957AC"/>
    <w:rsid w:val="58B70039"/>
    <w:rsid w:val="58C321DA"/>
    <w:rsid w:val="58C56CB7"/>
    <w:rsid w:val="58E6430A"/>
    <w:rsid w:val="58EA204C"/>
    <w:rsid w:val="59617E35"/>
    <w:rsid w:val="59706328"/>
    <w:rsid w:val="597710E0"/>
    <w:rsid w:val="598B6E77"/>
    <w:rsid w:val="598D29D8"/>
    <w:rsid w:val="5991422A"/>
    <w:rsid w:val="59995821"/>
    <w:rsid w:val="59996931"/>
    <w:rsid w:val="59E53AF4"/>
    <w:rsid w:val="5A2E7D17"/>
    <w:rsid w:val="5A380B96"/>
    <w:rsid w:val="5A435EA1"/>
    <w:rsid w:val="5A90452E"/>
    <w:rsid w:val="5AAA2261"/>
    <w:rsid w:val="5AB800BD"/>
    <w:rsid w:val="5AD00DCE"/>
    <w:rsid w:val="5ADC59C5"/>
    <w:rsid w:val="5AE51B4D"/>
    <w:rsid w:val="5B100DF9"/>
    <w:rsid w:val="5B182775"/>
    <w:rsid w:val="5B297E3C"/>
    <w:rsid w:val="5B3A6B8F"/>
    <w:rsid w:val="5B4B48F9"/>
    <w:rsid w:val="5B791466"/>
    <w:rsid w:val="5BA04C44"/>
    <w:rsid w:val="5BD14DFE"/>
    <w:rsid w:val="5BE07737"/>
    <w:rsid w:val="5BEF5FA4"/>
    <w:rsid w:val="5C050F4B"/>
    <w:rsid w:val="5C0827EA"/>
    <w:rsid w:val="5C14118E"/>
    <w:rsid w:val="5C292E8C"/>
    <w:rsid w:val="5C5123E2"/>
    <w:rsid w:val="5C621EFA"/>
    <w:rsid w:val="5C6D01F8"/>
    <w:rsid w:val="5C734F38"/>
    <w:rsid w:val="5CA249EC"/>
    <w:rsid w:val="5CAC6B89"/>
    <w:rsid w:val="5CB85B17"/>
    <w:rsid w:val="5CC26E3C"/>
    <w:rsid w:val="5CE15514"/>
    <w:rsid w:val="5CF8460C"/>
    <w:rsid w:val="5D0E5514"/>
    <w:rsid w:val="5D123A15"/>
    <w:rsid w:val="5D3513BC"/>
    <w:rsid w:val="5D945AB1"/>
    <w:rsid w:val="5DB20C5F"/>
    <w:rsid w:val="5E1C1435"/>
    <w:rsid w:val="5E341674"/>
    <w:rsid w:val="5E397D1C"/>
    <w:rsid w:val="5E543AC4"/>
    <w:rsid w:val="5ED370DF"/>
    <w:rsid w:val="5EFC1CF3"/>
    <w:rsid w:val="5F074FDA"/>
    <w:rsid w:val="5F37766E"/>
    <w:rsid w:val="5F3C1128"/>
    <w:rsid w:val="5F3D27AA"/>
    <w:rsid w:val="5F3F3148"/>
    <w:rsid w:val="5F6D308F"/>
    <w:rsid w:val="5FD1052D"/>
    <w:rsid w:val="5FE22FDD"/>
    <w:rsid w:val="601B6F8F"/>
    <w:rsid w:val="6028470C"/>
    <w:rsid w:val="604A33D1"/>
    <w:rsid w:val="604E2987"/>
    <w:rsid w:val="606272B7"/>
    <w:rsid w:val="608F27D2"/>
    <w:rsid w:val="60AC7BE7"/>
    <w:rsid w:val="60BB607C"/>
    <w:rsid w:val="60DB04CD"/>
    <w:rsid w:val="60FD7918"/>
    <w:rsid w:val="610645FA"/>
    <w:rsid w:val="610712C2"/>
    <w:rsid w:val="610E43FE"/>
    <w:rsid w:val="61371BA7"/>
    <w:rsid w:val="613C4D44"/>
    <w:rsid w:val="61483047"/>
    <w:rsid w:val="61642270"/>
    <w:rsid w:val="61840B64"/>
    <w:rsid w:val="618E3791"/>
    <w:rsid w:val="6192502F"/>
    <w:rsid w:val="61B825BC"/>
    <w:rsid w:val="61E805AF"/>
    <w:rsid w:val="61F16ABA"/>
    <w:rsid w:val="622814F0"/>
    <w:rsid w:val="62307304"/>
    <w:rsid w:val="623D4D9E"/>
    <w:rsid w:val="627D7A8D"/>
    <w:rsid w:val="62AF7E63"/>
    <w:rsid w:val="62C32E24"/>
    <w:rsid w:val="62CA25A7"/>
    <w:rsid w:val="631A1780"/>
    <w:rsid w:val="63296541"/>
    <w:rsid w:val="6429154F"/>
    <w:rsid w:val="645760BC"/>
    <w:rsid w:val="64722EF6"/>
    <w:rsid w:val="648E2E5C"/>
    <w:rsid w:val="64CA0F84"/>
    <w:rsid w:val="65075D34"/>
    <w:rsid w:val="651D0E9C"/>
    <w:rsid w:val="65273CE0"/>
    <w:rsid w:val="653603C7"/>
    <w:rsid w:val="655149D9"/>
    <w:rsid w:val="655645C6"/>
    <w:rsid w:val="6561044D"/>
    <w:rsid w:val="65AB4911"/>
    <w:rsid w:val="65D11E9E"/>
    <w:rsid w:val="65D5198E"/>
    <w:rsid w:val="65F60EE1"/>
    <w:rsid w:val="663D78E0"/>
    <w:rsid w:val="6672542F"/>
    <w:rsid w:val="66886A01"/>
    <w:rsid w:val="669E6224"/>
    <w:rsid w:val="670267B3"/>
    <w:rsid w:val="670D101F"/>
    <w:rsid w:val="670D390E"/>
    <w:rsid w:val="67140294"/>
    <w:rsid w:val="677B0CD3"/>
    <w:rsid w:val="67A40284"/>
    <w:rsid w:val="67FC2D3C"/>
    <w:rsid w:val="68277402"/>
    <w:rsid w:val="68356714"/>
    <w:rsid w:val="68504410"/>
    <w:rsid w:val="6885754E"/>
    <w:rsid w:val="688753D0"/>
    <w:rsid w:val="68C36416"/>
    <w:rsid w:val="68CC625B"/>
    <w:rsid w:val="68F301C0"/>
    <w:rsid w:val="69392234"/>
    <w:rsid w:val="693C5C7D"/>
    <w:rsid w:val="693E0690"/>
    <w:rsid w:val="69450BD9"/>
    <w:rsid w:val="695169A2"/>
    <w:rsid w:val="6968638E"/>
    <w:rsid w:val="69A27DD9"/>
    <w:rsid w:val="69AE29A3"/>
    <w:rsid w:val="69B95123"/>
    <w:rsid w:val="69BA15C7"/>
    <w:rsid w:val="6A0F3E3A"/>
    <w:rsid w:val="6A107439"/>
    <w:rsid w:val="6A326C4F"/>
    <w:rsid w:val="6A4946F9"/>
    <w:rsid w:val="6A4F42DF"/>
    <w:rsid w:val="6A657521"/>
    <w:rsid w:val="6A6E4160"/>
    <w:rsid w:val="6A881849"/>
    <w:rsid w:val="6A94371C"/>
    <w:rsid w:val="6AAB2B20"/>
    <w:rsid w:val="6AB04778"/>
    <w:rsid w:val="6AD761A9"/>
    <w:rsid w:val="6AF35110"/>
    <w:rsid w:val="6B8A321B"/>
    <w:rsid w:val="6BB27D1A"/>
    <w:rsid w:val="6BC24763"/>
    <w:rsid w:val="6C0067A8"/>
    <w:rsid w:val="6C496C32"/>
    <w:rsid w:val="6C515AE7"/>
    <w:rsid w:val="6C9C4FB4"/>
    <w:rsid w:val="6CD04C5E"/>
    <w:rsid w:val="6CD40BF2"/>
    <w:rsid w:val="6CD504C6"/>
    <w:rsid w:val="6D9A4776"/>
    <w:rsid w:val="6D9E2FB1"/>
    <w:rsid w:val="6DA2484C"/>
    <w:rsid w:val="6DA84B39"/>
    <w:rsid w:val="6DAC1227"/>
    <w:rsid w:val="6DBE71AC"/>
    <w:rsid w:val="6DD84903"/>
    <w:rsid w:val="6E2106ED"/>
    <w:rsid w:val="6E6C09B6"/>
    <w:rsid w:val="6E940F17"/>
    <w:rsid w:val="6EA00DE2"/>
    <w:rsid w:val="6EA72F42"/>
    <w:rsid w:val="6EBF4F8A"/>
    <w:rsid w:val="6EF515E6"/>
    <w:rsid w:val="6F03756C"/>
    <w:rsid w:val="6F085090"/>
    <w:rsid w:val="6F106C53"/>
    <w:rsid w:val="6F1277AF"/>
    <w:rsid w:val="6F1C2B53"/>
    <w:rsid w:val="6F487EA1"/>
    <w:rsid w:val="6F4B4A6F"/>
    <w:rsid w:val="6FCF1C1E"/>
    <w:rsid w:val="6FD44A65"/>
    <w:rsid w:val="6FE74798"/>
    <w:rsid w:val="6FFF3D96"/>
    <w:rsid w:val="70117A67"/>
    <w:rsid w:val="703025E3"/>
    <w:rsid w:val="70534050"/>
    <w:rsid w:val="70643377"/>
    <w:rsid w:val="70643A4D"/>
    <w:rsid w:val="713F23B2"/>
    <w:rsid w:val="71445C1A"/>
    <w:rsid w:val="715B31D5"/>
    <w:rsid w:val="71D3301D"/>
    <w:rsid w:val="71D86DAC"/>
    <w:rsid w:val="720C062E"/>
    <w:rsid w:val="722849E5"/>
    <w:rsid w:val="724E4FA2"/>
    <w:rsid w:val="7291048A"/>
    <w:rsid w:val="72945BA0"/>
    <w:rsid w:val="72A17BA4"/>
    <w:rsid w:val="72C30157"/>
    <w:rsid w:val="72D57472"/>
    <w:rsid w:val="72DC43B1"/>
    <w:rsid w:val="730218E9"/>
    <w:rsid w:val="731E439D"/>
    <w:rsid w:val="73280847"/>
    <w:rsid w:val="73504D4A"/>
    <w:rsid w:val="73901B69"/>
    <w:rsid w:val="739E7864"/>
    <w:rsid w:val="73E84F83"/>
    <w:rsid w:val="73FA50C8"/>
    <w:rsid w:val="74002C3C"/>
    <w:rsid w:val="740E0856"/>
    <w:rsid w:val="74647000"/>
    <w:rsid w:val="74AE7B0E"/>
    <w:rsid w:val="74D07EF1"/>
    <w:rsid w:val="74F42333"/>
    <w:rsid w:val="75062933"/>
    <w:rsid w:val="750951B1"/>
    <w:rsid w:val="755000CD"/>
    <w:rsid w:val="755E7FC9"/>
    <w:rsid w:val="75AF45AE"/>
    <w:rsid w:val="75BF1D13"/>
    <w:rsid w:val="76004806"/>
    <w:rsid w:val="76051E1C"/>
    <w:rsid w:val="760A251F"/>
    <w:rsid w:val="764220F8"/>
    <w:rsid w:val="76424E1E"/>
    <w:rsid w:val="764561DA"/>
    <w:rsid w:val="769A6A08"/>
    <w:rsid w:val="76AA7F18"/>
    <w:rsid w:val="76B16C7A"/>
    <w:rsid w:val="76DB5157"/>
    <w:rsid w:val="76E2215D"/>
    <w:rsid w:val="76E23F0B"/>
    <w:rsid w:val="76FF6781"/>
    <w:rsid w:val="773B1D96"/>
    <w:rsid w:val="774C1903"/>
    <w:rsid w:val="777C610E"/>
    <w:rsid w:val="778154D2"/>
    <w:rsid w:val="778B00FF"/>
    <w:rsid w:val="779A3DE9"/>
    <w:rsid w:val="77AF60FE"/>
    <w:rsid w:val="77D5581E"/>
    <w:rsid w:val="78121788"/>
    <w:rsid w:val="78197E01"/>
    <w:rsid w:val="786077DD"/>
    <w:rsid w:val="78632E2A"/>
    <w:rsid w:val="786A0221"/>
    <w:rsid w:val="78872FBC"/>
    <w:rsid w:val="78AE3869"/>
    <w:rsid w:val="78CA50DC"/>
    <w:rsid w:val="78E75809"/>
    <w:rsid w:val="793022A4"/>
    <w:rsid w:val="795905D6"/>
    <w:rsid w:val="79BE7F47"/>
    <w:rsid w:val="79CD1605"/>
    <w:rsid w:val="79F02EB6"/>
    <w:rsid w:val="79F75F20"/>
    <w:rsid w:val="7A3F308A"/>
    <w:rsid w:val="7A454EDD"/>
    <w:rsid w:val="7A790671"/>
    <w:rsid w:val="7A815692"/>
    <w:rsid w:val="7A965738"/>
    <w:rsid w:val="7AA15E8B"/>
    <w:rsid w:val="7AB636E5"/>
    <w:rsid w:val="7ABB0CFB"/>
    <w:rsid w:val="7ADD3367"/>
    <w:rsid w:val="7AEF6BF7"/>
    <w:rsid w:val="7B0C59FB"/>
    <w:rsid w:val="7B234AF2"/>
    <w:rsid w:val="7B2E6156"/>
    <w:rsid w:val="7B332A1C"/>
    <w:rsid w:val="7B7A6E08"/>
    <w:rsid w:val="7B913FB4"/>
    <w:rsid w:val="7BF32349"/>
    <w:rsid w:val="7BFE6C93"/>
    <w:rsid w:val="7C2445D3"/>
    <w:rsid w:val="7C6B04FF"/>
    <w:rsid w:val="7CA852DF"/>
    <w:rsid w:val="7D094710"/>
    <w:rsid w:val="7D0D6328"/>
    <w:rsid w:val="7D2C6836"/>
    <w:rsid w:val="7D545437"/>
    <w:rsid w:val="7D5E7A49"/>
    <w:rsid w:val="7D7D04EA"/>
    <w:rsid w:val="7D8602B4"/>
    <w:rsid w:val="7D8E21F7"/>
    <w:rsid w:val="7D945607"/>
    <w:rsid w:val="7DB123C6"/>
    <w:rsid w:val="7E175822"/>
    <w:rsid w:val="7EAE3D9C"/>
    <w:rsid w:val="7EB048EF"/>
    <w:rsid w:val="7EE0746B"/>
    <w:rsid w:val="7EE50A3C"/>
    <w:rsid w:val="7F037115"/>
    <w:rsid w:val="7F4E30F1"/>
    <w:rsid w:val="7F561558"/>
    <w:rsid w:val="7F991477"/>
    <w:rsid w:val="7F994556"/>
    <w:rsid w:val="7FD35257"/>
    <w:rsid w:val="7FFB603E"/>
  </w:rsids>
  <m:mathPr>
    <m:mathFont m:val="Cambria Math"/>
    <m:brkBin m:val="before"/>
    <m:brkBinSub m:val="--"/>
    <m:smallFrac m:val="1"/>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0" w:semiHidden="0"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jc w:val="left"/>
    </w:pPr>
  </w:style>
  <w:style w:type="paragraph" w:styleId="4">
    <w:name w:val="Body Text Indent"/>
    <w:basedOn w:val="1"/>
    <w:link w:val="16"/>
    <w:semiHidden/>
    <w:unhideWhenUsed/>
    <w:qFormat/>
    <w:uiPriority w:val="99"/>
    <w:pPr>
      <w:spacing w:after="120"/>
      <w:ind w:left="420" w:leftChars="200"/>
    </w:pPr>
  </w:style>
  <w:style w:type="paragraph" w:styleId="5">
    <w:name w:val="Balloon Text"/>
    <w:basedOn w:val="1"/>
    <w:link w:val="15"/>
    <w:semiHidden/>
    <w:unhideWhenUsed/>
    <w:qFormat/>
    <w:uiPriority w:val="99"/>
    <w:rPr>
      <w:sz w:val="18"/>
      <w:szCs w:val="18"/>
    </w:rPr>
  </w:style>
  <w:style w:type="paragraph" w:styleId="6">
    <w:name w:val="footer"/>
    <w:basedOn w:val="1"/>
    <w:semiHidden/>
    <w:unhideWhenUsed/>
    <w:qFormat/>
    <w:uiPriority w:val="99"/>
    <w:pPr>
      <w:tabs>
        <w:tab w:val="center" w:pos="4153"/>
        <w:tab w:val="right" w:pos="8306"/>
      </w:tabs>
      <w:snapToGrid w:val="0"/>
      <w:jc w:val="left"/>
    </w:pPr>
    <w:rPr>
      <w:sz w:val="18"/>
    </w:rPr>
  </w:style>
  <w:style w:type="paragraph" w:styleId="7">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lang w:bidi="mn-Mong-CN"/>
    </w:rPr>
  </w:style>
  <w:style w:type="paragraph" w:styleId="9">
    <w:name w:val="Body Text First Indent 2"/>
    <w:basedOn w:val="4"/>
    <w:link w:val="17"/>
    <w:unhideWhenUsed/>
    <w:qFormat/>
    <w:uiPriority w:val="99"/>
    <w:pPr>
      <w:tabs>
        <w:tab w:val="left" w:pos="540"/>
      </w:tabs>
      <w:spacing w:after="0" w:line="360" w:lineRule="auto"/>
      <w:ind w:firstLine="420" w:firstLineChars="200"/>
      <w:jc w:val="left"/>
    </w:pPr>
    <w:rPr>
      <w:rFonts w:ascii="Calibri" w:hAnsi="Calibri" w:eastAsia="宋体" w:cs="黑体"/>
      <w:sz w:val="28"/>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basedOn w:val="12"/>
    <w:semiHidden/>
    <w:unhideWhenUsed/>
    <w:qFormat/>
    <w:uiPriority w:val="99"/>
    <w:rPr>
      <w:color w:val="0000FF"/>
      <w:u w:val="single"/>
    </w:rPr>
  </w:style>
  <w:style w:type="paragraph" w:styleId="14">
    <w:name w:val="List Paragraph"/>
    <w:basedOn w:val="1"/>
    <w:qFormat/>
    <w:uiPriority w:val="34"/>
    <w:pPr>
      <w:ind w:firstLine="420" w:firstLineChars="200"/>
    </w:pPr>
  </w:style>
  <w:style w:type="character" w:customStyle="1" w:styleId="15">
    <w:name w:val="批注框文本 Char"/>
    <w:basedOn w:val="12"/>
    <w:link w:val="5"/>
    <w:semiHidden/>
    <w:qFormat/>
    <w:uiPriority w:val="99"/>
    <w:rPr>
      <w:sz w:val="18"/>
      <w:szCs w:val="18"/>
    </w:rPr>
  </w:style>
  <w:style w:type="character" w:customStyle="1" w:styleId="16">
    <w:name w:val="正文文本缩进 Char"/>
    <w:basedOn w:val="12"/>
    <w:link w:val="4"/>
    <w:semiHidden/>
    <w:qFormat/>
    <w:uiPriority w:val="99"/>
    <w:rPr>
      <w:rFonts w:asciiTheme="minorHAnsi" w:hAnsiTheme="minorHAnsi" w:eastAsiaTheme="minorEastAsia" w:cstheme="minorBidi"/>
      <w:kern w:val="2"/>
      <w:sz w:val="21"/>
      <w:szCs w:val="22"/>
    </w:rPr>
  </w:style>
  <w:style w:type="character" w:customStyle="1" w:styleId="17">
    <w:name w:val="正文首行缩进 2 Char"/>
    <w:basedOn w:val="16"/>
    <w:link w:val="9"/>
    <w:qFormat/>
    <w:uiPriority w:val="99"/>
    <w:rPr>
      <w:rFonts w:ascii="Calibri" w:hAnsi="Calibri" w:cs="黑体"/>
      <w:sz w:val="28"/>
    </w:rPr>
  </w:style>
  <w:style w:type="paragraph" w:customStyle="1" w:styleId="18">
    <w:name w:val="Body Text First Indent1"/>
    <w:basedOn w:val="1"/>
    <w:qFormat/>
    <w:uiPriority w:val="99"/>
    <w:pPr>
      <w:ind w:firstLine="100" w:firstLineChars="100"/>
    </w:pPr>
    <w:rPr>
      <w:rFonts w:ascii="Calibri" w:hAnsi="Calibri" w:eastAsia="宋体" w:cs="黑体"/>
    </w:rPr>
  </w:style>
  <w:style w:type="paragraph" w:customStyle="1" w:styleId="19">
    <w:name w:val="WPSOffice手动目录 1"/>
    <w:qFormat/>
    <w:uiPriority w:val="0"/>
    <w:rPr>
      <w:rFonts w:ascii="Times New Roman" w:hAnsi="Times New Roman" w:eastAsia="宋体" w:cs="Times New Roman"/>
      <w:lang w:val="en-US" w:eastAsia="zh-CN" w:bidi="mn-Mong-CN"/>
    </w:rPr>
  </w:style>
  <w:style w:type="paragraph" w:customStyle="1" w:styleId="20">
    <w:name w:val="WPSOffice手动目录 2"/>
    <w:qFormat/>
    <w:uiPriority w:val="0"/>
    <w:pPr>
      <w:ind w:left="200" w:leftChars="200"/>
    </w:pPr>
    <w:rPr>
      <w:rFonts w:ascii="Times New Roman" w:hAnsi="Times New Roman" w:eastAsia="宋体" w:cs="Times New Roman"/>
      <w:lang w:val="en-US" w:eastAsia="zh-CN" w:bidi="mn-Mong-CN"/>
    </w:rPr>
  </w:style>
  <w:style w:type="paragraph" w:customStyle="1" w:styleId="21">
    <w:name w:val="样式1"/>
    <w:basedOn w:val="1"/>
    <w:qFormat/>
    <w:uiPriority w:val="0"/>
    <w:pPr>
      <w:spacing w:line="540" w:lineRule="exact"/>
      <w:jc w:val="center"/>
    </w:pPr>
    <w:rPr>
      <w:rFonts w:ascii="Times New Roman" w:hAnsi="Times New Roman" w:eastAsia="仿宋" w:cs="Times New Roman"/>
      <w:b/>
      <w:color w:val="000000" w:themeColor="text1"/>
      <w:sz w:val="32"/>
      <w:szCs w:val="32"/>
      <w14:textFill>
        <w14:solidFill>
          <w14:schemeClr w14:val="tx1"/>
        </w14:solidFill>
      </w14:textFill>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BE4DA36-63E1-4263-8C84-6341E91B2C6F}">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19</Pages>
  <Words>9052</Words>
  <Characters>9196</Characters>
  <Lines>119</Lines>
  <Paragraphs>33</Paragraphs>
  <TotalTime>44</TotalTime>
  <ScaleCrop>false</ScaleCrop>
  <LinksUpToDate>false</LinksUpToDate>
  <CharactersWithSpaces>9278</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2022-03-13T15:12:00Z</dcterms:created>
  <dc:creator>Administrator</dc:creator>
  <cp:lastModifiedBy>Lee</cp:lastModifiedBy>
  <cp:lastPrinted>2022-11-01T02:08:00Z</cp:lastPrinted>
  <dcterms:modified xsi:type="dcterms:W3CDTF">2024-12-23T09:17:35Z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C1DBD3E8007747FCAC38C55BCBD7B5DD</vt:lpwstr>
  </property>
</Properties>
</file>